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CBCF" w14:textId="77777777" w:rsidR="0003104B" w:rsidRPr="0003104B" w:rsidRDefault="0003104B" w:rsidP="0003104B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b/>
          <w:bCs/>
          <w:kern w:val="0"/>
          <w:sz w:val="24"/>
          <w:szCs w:val="24"/>
          <w:lang w:eastAsia="pl-PL"/>
          <w14:ligatures w14:val="none"/>
        </w:rPr>
        <w:t>UZASADNIENIE</w:t>
      </w:r>
    </w:p>
    <w:p w14:paraId="75B3987E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Projekt rozporządzenia stanowi wykonanie upoważnienia ustawowego określonego w art. 19 ust. 2 ustawy z dnia 22 sierpnia 1997 r. o publicznej służbie krwi (Dz. U. z 2024 r. poz. 1782), zwanej dalej „ustawą”. Zgodnie z tym przepisem minister właściwy do spraw zdrowia, po zasięgnięciu opinii Instytutu Hematologii i Transfuzjologii, określa corocznie, do dnia 30 czerwca, w drodze rozporządzenia, wysokość opłat za krew i jej składniki wydawane przez jednostki organizacyjne publicznej służby krwi, obowiązujących w następnym roku kalendarzowym, uwzględniając rodzaje kosztów ponoszonych przez jednostki organizacyjne publicznej służby krwi w związku z pobieraniem krwi i jej składników oraz preparatyką, przechowywaniem i wydawaniem, a także uwzględniając średnioroczny wskaźnik cen towarów i usług konsumpcyjnych ogółem w poprzednim roku kalendarzowym, ogłaszany przez Prezesa Głównego Urzędu Statystycznego.   </w:t>
      </w:r>
    </w:p>
    <w:p w14:paraId="05EE00E1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Niniejszy projekt rozporządzenia określa wysokość opłat za krew i jej składniki w 2026 r.</w:t>
      </w:r>
    </w:p>
    <w:p w14:paraId="16A468D2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Z przeprowadzonej analizy wynika, że koszty własne sprzedaży składników krwi oraz koszty wykonywanych na tych składnikach czynności dodatkowych w większości są na poziomie wyższym od poziomu opłat obowiązujących w 2025 r. W związku z powyższym, w projekcie zaproponowano zmianę wysokości opłat, tj. podwyższenie opłat uwzględniające średnioroczny wskaźnik cen towarów i usług konsumpcyjnych ogółem w 2024 r., ogłoszony w komunikacie Prezesa Głównego Urzędu Statystycznego z 15 stycznia 2025 r. w sprawie średniorocznego wskaźnika cen towarów i usług konsumpcyjnych ogółem w 2024 r. (M.P. poz. 68) zgodnie z którym wskaźnik ten wyniósł 103,6, co oznacza wzrost cen o 3,6% w porównaniu do 2023 r.</w:t>
      </w:r>
    </w:p>
    <w:p w14:paraId="3C55F2CB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W przypadku 1 składnika krwi: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ubogoleukocytarnego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koncentratu krwinek płytkowych z krwi pełnej (1 dawka terapeutyczna) rekomenduje się utrzymanie opłaty na poziomie roku poprzedniego. Przemawia za tym fakt, że składnik ten, poza metodą aferezy, zgodnie z zasadami preparatyki można uzyskać z kożuszków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leukocytarno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–płytkowych metodą manualną lub automatyczną. Coraz więcej Centrów Krwiodawstwa i Krwiolecznictwa (zwanych dalej „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”) preparuje dawki terapeutyczne metodą automatyczną, która pozwala na otrzymanie wysokojakościowego preparatu, ale jednocześnie wyższa jakość jest związana z wyższymi kosztami związanymi z taką preparatyką płytek krwi. Nie można wykluczyć, że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będą powoli odchodziły od metody manualnej na rzecz metody automatycznej, m.in. 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lastRenderedPageBreak/>
        <w:t xml:space="preserve">z uwagi na pojawiające się problemy z dostępnością filtrów przyłączeniowych do preparatyki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ubogoleukocytarnego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koncentratu krwinek płytkowych metoda manualną.</w:t>
      </w:r>
    </w:p>
    <w:p w14:paraId="4850198E" w14:textId="78685D1A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Z analizy danych finansowych 21 Regionalnych Centrów Krwiodawstwa (zwanych dalej „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”) w latach 2023–2024 (dane za 2023 r. pochodzą ze sprawozdań finansowych, natomiast za 2024 r. są to dane statystyczne przekazane przez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za pośrednictwem Systemu Statystyki w Ochronie Zdrowia, które mogą nieco różnić się od danych ostatecznych ze względu na trwające badania sprawozdań prowadzone przez firmy audytorskie oraz proces zatwierdzania sprawozdań finansowych) nasuwają się wnioski, że w przypadku 16</w:t>
      </w:r>
      <w:r w:rsidR="0076512C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 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wyniki finansowe za 2024 r. uległy zmniejszeniu, natomiast 5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odnotowało zwiększenie wyników finansowych. Analogiczne zmiany wystąpiły w przypadku wskaźników rentowności netto. Ponadto wzrosła liczba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, które odnotowały straty netto,  z 1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w 2023 r. do 5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w 2024 r. Istnieje ryzyko, że w związku z rosnącymi kosztami działalności,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, które za 2024 r. osiągnęły niskie wartości zysku netto oraz odnotowały straty netto, w kolejnym roku mogą odnotować ujemne wyniki finansowe. Ponadto w</w:t>
      </w:r>
      <w:r w:rsidR="0076512C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 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porównaniu do lat poprzednich utrzymuje się tendencja malejąca wskaźnika rentowności netto.</w:t>
      </w:r>
    </w:p>
    <w:p w14:paraId="43F14530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Za zwiększeniem opłat za składniki krwi oraz czynności dodatkowe (w założonej w projekcie rozporządzenia wysokości) przemawia także konieczność zwiększenia wynagrodzeń pracowników wynikająca m.in. ze zmian w ustawie z dnia 8 czerwca 2017 r. o sposobie ustalania najniższego wynagrodzenia zasadniczego niektórych pracowników zatrudnionych w podmiotach leczniczych (Dz. U. z 2022 r. poz. 2139) oraz z przewidzianej w Wieloletnim Planie Finansowym Państwa na lata 2024–2027 podwyżki wynagrodzeń pracowników. Wzrost wynagrodzeń zapewnia utrzymanie wykwalifikowanej kadry pracowniczej, co przekłada się na zdolność jednostki do działania na najwyższym poziomie.</w:t>
      </w:r>
    </w:p>
    <w:p w14:paraId="19F80BCC" w14:textId="595448EF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Należy przy tym dodać, że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nie otrzymały wsparcia finansowego celem pokrycia skutków wzrostu wynagrodzeń wynikających z realizacji ustaleń Trójstronnego Zespołu ds. Ochrony Zdrowia z dnia 5 listopada 2021 r. (zmiany ustawy z dnia 8 czerwca 2017 r. o sposobie ustalania najniższego wynagrodzenia zasadniczego niektórych pracowników zatrudnionych w</w:t>
      </w:r>
      <w:r w:rsidR="0076512C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 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podmiotach leczniczych). W latach 2021–2025 opłaty za krew i jej składniki wzrosły o</w:t>
      </w:r>
      <w:r w:rsidR="0076512C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 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kilkanaście procent (w 2023 r. o 5,1%, natomiast w 2025 r. o 11,4%), a minimalne wynagrodzenia pracowników medycznych od lipca 2025 r. będą wyższe nawet o ponad 100% od wynagrodzeń sprzed wprowadzenia ww. ustawy. Należy zwrócić uwagę, że koszty tych wynagrodzeń z pochodnymi, stanowią ogółem ponad połowę kosztów funkcjonowania 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lastRenderedPageBreak/>
        <w:t xml:space="preserve">poszczególnych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, co znacznie wpływa na pogorszenie sytuacji finansowej i</w:t>
      </w:r>
      <w:r w:rsidR="0076512C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 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organizacyjnej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(w tym problemy z płynnością), a brak zapewnienia wzrostu przychodów tę sytuację może pogłębić.</w:t>
      </w:r>
    </w:p>
    <w:p w14:paraId="5BE93DEA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Za zwiększeniem opłat za składniki krwi oraz czynności dodatkowe (w założonej w projekcie rozporządzenia wysokości), przemawia także zmniejszenie potencjalnej wysokości dodatkowych przychodów ze sprzedaży nadwyżek osocza do wytwórni farmaceutycznych w 2025 r. Szacunkowy przychód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CKRiK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z tego tytułu</w:t>
      </w:r>
      <w:r w:rsidRPr="0003104B" w:rsidDel="00ED5EBF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wyniesie w 2025 r. o około 35 mln zł mniej niż w 2024 r. (biorąc pod uwagę określoną w warunkach konkursu łączną ilość osocza na rok 2025). Powyższe wynika z sytuacji na rynku międzynarodowym, gdzie ceny za osocze również są niższe niż w poprzednich latach (informacje z International Blood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Plasma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News).</w:t>
      </w:r>
    </w:p>
    <w:p w14:paraId="1DF92BAD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Należy zaznaczyć, że środki finansowe pochodzące z wydania osocza za opłatą są dla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oraz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istotnym wsparciem finansowym, mają na celu przede wszystkim pokrycie kosztów, które te centra ponoszą w związku z pobraniem, preparatyką, badaniem, przechowywaniem i przygotowaniem krwi i jej składników do wydania, ponadto środki uzyskane ze sprzedaży nadwyżek osocza stanowią dodatkowe dofinansowanie bieżącej działalności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oraz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CKiK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, np. na zakupy inwestycyjne.</w:t>
      </w:r>
    </w:p>
    <w:p w14:paraId="7B0D5460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Kluczowe jest również przekazywanie na potrzeby lecznictwa składników krwi najwyższej jakości, gwarantujących bezpieczeństwo zdrowia publicznego, co z kolei wiąże się z koniecznością ponoszenia nakładów inwestycyjnych, m.in. na zakup aparatury wykorzystywanej w procesie pobierania, preparatyki i przechowywania krwi i jej składników.</w:t>
      </w:r>
    </w:p>
    <w:p w14:paraId="496AE07C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bookmarkStart w:id="0" w:name="_Hlk100838271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Zgodnie z art. 19 ust. 2 ustawy, projekt rozporządzenia zostanie przekazany Instytutowi Hematologii i Transfuzjologii celem przedstawienia opinii, w ramach etapu uzgodnień, opiniowania i konsultacji publicznych.</w:t>
      </w:r>
    </w:p>
    <w:bookmarkEnd w:id="0"/>
    <w:p w14:paraId="2432C765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Wejście w życie rozporządzenia określono na dzień1 stycznia 2026 r., ze względu na utratę mocy, z końcem 2025r. rozporządzenia </w:t>
      </w:r>
      <w:proofErr w:type="spellStart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rozporządzenia</w:t>
      </w:r>
      <w:proofErr w:type="spellEnd"/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 Ministra Zdrowia z dnia 25 września 2024 r. w sprawie określenia wysokości opłat za krew i jej składniki w 2025 r. (Dz. U. poz. 1436).</w:t>
      </w:r>
    </w:p>
    <w:p w14:paraId="4B183912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Przedmiot projektowanej regulacji nie jest objęty zakresem prawa Unii Europejskiej.</w:t>
      </w:r>
    </w:p>
    <w:p w14:paraId="7B523709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Projekt rozporządzenia nie zawiera przepisów technicznych, w związku z czym nie podlega notyfikacji w trybie przewidzianym w przepisach rozporządzenia Rady Ministrów </w:t>
      </w: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lastRenderedPageBreak/>
        <w:t>z dnia 23 grudnia 2002 r. w sprawie sposobu funkcjonowania krajowego systemu notyfikacji norm i aktów prawnych (Dz. U. z 2002 r. poz. 2039 oraz z 2004 r. poz. 597).</w:t>
      </w:r>
    </w:p>
    <w:p w14:paraId="1C1649C2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Projekt aktu nie zawiera wymogów nakładanych na usługodawców podlegających notyfikacji, o której mowa w art. 15 ust. 7 i art. 39 ust. 5 dyrektywy 2006/123/WE Parlamentu Europejskiego i Rady z dnia 12 grudnia 2006 r. dotyczącej usług na rynku wewnętrznym (Dz. Urz. UE L 376 z 27.12.2006).</w:t>
      </w:r>
    </w:p>
    <w:p w14:paraId="1E186A20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Projekt rozporządzenia nie wywiera wpływu na obszar danych osobowych. W związku z tym, nie przeprowadzono oceny skutków dla ochrony danych osobowych, o której mowa w art. 35 ust. 1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z późn. zm.).</w:t>
      </w:r>
    </w:p>
    <w:p w14:paraId="29AC0E84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Projekt rozporządzenia nie podlega obowiązkowi przedstawienia właściwym organom i instytucjom Unii Europejskiej, w tym Europejskiemu Bankowi Centralnemu, w celu uzyskania opinii, dokonania konsultacji albo uzgodnienia.</w:t>
      </w:r>
    </w:p>
    <w:p w14:paraId="48B59CF8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 xml:space="preserve">Projekt rozporządzenia pozostaje bez wpływu na sektor mikro, małych i średnich przedsiębiorstw. </w:t>
      </w:r>
    </w:p>
    <w:p w14:paraId="7A53A6B7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Projekt rozporządzenia pozostaje bez wpływu na sytuację ekonomiczną i społeczną rodziny, a także osób niepełnosprawnych oraz osób starszych.</w:t>
      </w:r>
    </w:p>
    <w:p w14:paraId="762FA566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lang w:eastAsia="pl-PL"/>
          <w14:ligatures w14:val="none"/>
        </w:rPr>
      </w:pPr>
      <w:r w:rsidRPr="0003104B">
        <w:rPr>
          <w:rFonts w:ascii="Times" w:eastAsia="Times New Roman" w:hAnsi="Times" w:cs="Arial"/>
          <w:kern w:val="0"/>
          <w:sz w:val="24"/>
          <w:lang w:eastAsia="pl-PL"/>
          <w14:ligatures w14:val="none"/>
        </w:rPr>
        <w:t>Jednocześnie należy wskazać, że nie ma możliwości podjęcia alternatywnych w stosunku do rozporządzenia środków umożliwiających osiągnięcie zamierzonego celu.</w:t>
      </w:r>
    </w:p>
    <w:p w14:paraId="1CE9420D" w14:textId="77777777" w:rsidR="0003104B" w:rsidRPr="0003104B" w:rsidRDefault="0003104B" w:rsidP="0003104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lang w:eastAsia="pl-PL"/>
          <w14:ligatures w14:val="none"/>
        </w:rPr>
      </w:pPr>
    </w:p>
    <w:p w14:paraId="3B97BA46" w14:textId="77777777" w:rsidR="0003104B" w:rsidRPr="0003104B" w:rsidRDefault="0003104B" w:rsidP="0003104B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Arial"/>
          <w:kern w:val="0"/>
          <w:sz w:val="24"/>
          <w:lang w:eastAsia="pl-PL"/>
          <w14:ligatures w14:val="none"/>
        </w:rPr>
      </w:pPr>
    </w:p>
    <w:p w14:paraId="46D1E932" w14:textId="77777777" w:rsidR="0003104B" w:rsidRPr="0003104B" w:rsidRDefault="0003104B" w:rsidP="0003104B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Arial"/>
          <w:kern w:val="0"/>
          <w:sz w:val="24"/>
          <w:lang w:eastAsia="pl-PL"/>
          <w14:ligatures w14:val="none"/>
        </w:rPr>
      </w:pPr>
    </w:p>
    <w:p w14:paraId="3534BFB9" w14:textId="77777777" w:rsidR="00AD1659" w:rsidRDefault="00AD1659"/>
    <w:sectPr w:rsidR="00AD1659" w:rsidSect="0003104B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AC1C" w14:textId="77777777" w:rsidR="00A415DE" w:rsidRDefault="00A415DE">
      <w:r>
        <w:separator/>
      </w:r>
    </w:p>
  </w:endnote>
  <w:endnote w:type="continuationSeparator" w:id="0">
    <w:p w14:paraId="2C12D31A" w14:textId="77777777" w:rsidR="00A415DE" w:rsidRDefault="00A4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DAC8" w14:textId="77777777" w:rsidR="00A415DE" w:rsidRDefault="00A415DE">
      <w:r>
        <w:separator/>
      </w:r>
    </w:p>
  </w:footnote>
  <w:footnote w:type="continuationSeparator" w:id="0">
    <w:p w14:paraId="6D02B561" w14:textId="77777777" w:rsidR="00A415DE" w:rsidRDefault="00A4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EDDD" w14:textId="77777777" w:rsidR="00A02C3A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4B"/>
    <w:rsid w:val="0003104B"/>
    <w:rsid w:val="00317FDD"/>
    <w:rsid w:val="0076512C"/>
    <w:rsid w:val="00793396"/>
    <w:rsid w:val="008457B2"/>
    <w:rsid w:val="00876AA2"/>
    <w:rsid w:val="00A02C3A"/>
    <w:rsid w:val="00A415DE"/>
    <w:rsid w:val="00AD1659"/>
    <w:rsid w:val="00AF4F6B"/>
    <w:rsid w:val="00D200AF"/>
    <w:rsid w:val="00E35EA5"/>
    <w:rsid w:val="00E6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FD9D"/>
  <w15:chartTrackingRefBased/>
  <w15:docId w15:val="{BC80C469-82CB-44EA-8B3E-D7FAB558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AA2"/>
  </w:style>
  <w:style w:type="paragraph" w:styleId="Nagwek1">
    <w:name w:val="heading 1"/>
    <w:basedOn w:val="Normalny"/>
    <w:next w:val="Normalny"/>
    <w:link w:val="Nagwek1Znak"/>
    <w:uiPriority w:val="9"/>
    <w:qFormat/>
    <w:rsid w:val="0003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0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0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0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0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0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0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0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0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0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0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0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0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0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0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0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0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0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31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1299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 Edyta</dc:creator>
  <cp:keywords/>
  <dc:description/>
  <cp:lastModifiedBy>Tenerowicz Joanna</cp:lastModifiedBy>
  <cp:revision>4</cp:revision>
  <dcterms:created xsi:type="dcterms:W3CDTF">2025-06-03T09:56:00Z</dcterms:created>
  <dcterms:modified xsi:type="dcterms:W3CDTF">2025-06-03T12:20:00Z</dcterms:modified>
</cp:coreProperties>
</file>