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735"/>
        <w:gridCol w:w="15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14:paraId="3745DCE1" w14:textId="77777777" w:rsidTr="00A37BB7">
        <w:trPr>
          <w:gridAfter w:val="1"/>
          <w:wAfter w:w="10" w:type="dxa"/>
          <w:trHeight w:val="3960"/>
        </w:trPr>
        <w:tc>
          <w:tcPr>
            <w:tcW w:w="6631" w:type="dxa"/>
            <w:gridSpan w:val="17"/>
          </w:tcPr>
          <w:p w14:paraId="7B9928CA" w14:textId="77777777" w:rsidR="006A701A" w:rsidRPr="008B4FE6" w:rsidRDefault="006A701A" w:rsidP="00616511">
            <w:pPr>
              <w:spacing w:before="120" w:line="240" w:lineRule="auto"/>
              <w:ind w:hanging="45"/>
              <w:rPr>
                <w:rFonts w:ascii="Times New Roman" w:hAnsi="Times New Roman"/>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p>
          <w:p w14:paraId="3DBEB575" w14:textId="54B84583" w:rsidR="006A701A" w:rsidRPr="008B4FE6" w:rsidRDefault="00FE16C0" w:rsidP="00A52ADB">
            <w:pPr>
              <w:spacing w:line="240" w:lineRule="auto"/>
              <w:ind w:hanging="34"/>
              <w:rPr>
                <w:rFonts w:ascii="Times New Roman" w:hAnsi="Times New Roman"/>
                <w:color w:val="000000"/>
              </w:rPr>
            </w:pPr>
            <w:r w:rsidRPr="00FE16C0">
              <w:rPr>
                <w:rFonts w:ascii="Times New Roman" w:hAnsi="Times New Roman"/>
                <w:color w:val="000000"/>
              </w:rPr>
              <w:t xml:space="preserve">Rozporządzenie Ministra Zdrowia </w:t>
            </w:r>
            <w:r w:rsidR="00A925DF" w:rsidRPr="00A925DF">
              <w:rPr>
                <w:rFonts w:ascii="Times New Roman" w:hAnsi="Times New Roman"/>
                <w:color w:val="000000"/>
              </w:rPr>
              <w:t>zmieniające rozporządzenie w sprawie sposobu podziału środków finansowych dla uczelni medycznych nadzorowanych przez ministra właściwego do spraw zdrowia</w:t>
            </w:r>
          </w:p>
          <w:p w14:paraId="58442EE1" w14:textId="77777777" w:rsidR="001B3460" w:rsidRPr="00FE16C0" w:rsidRDefault="006A701A" w:rsidP="00FE16C0">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bookmarkEnd w:id="0"/>
            <w:r w:rsidR="00BA7817">
              <w:rPr>
                <w:rFonts w:ascii="Times New Roman" w:hAnsi="Times New Roman"/>
                <w:b/>
                <w:color w:val="000000"/>
              </w:rPr>
              <w:br/>
            </w:r>
            <w:r w:rsidR="00FE16C0" w:rsidRPr="00FE16C0">
              <w:rPr>
                <w:rFonts w:ascii="Times New Roman" w:hAnsi="Times New Roman"/>
                <w:color w:val="000000"/>
              </w:rPr>
              <w:t>Ministerstwo Zdrowia</w:t>
            </w:r>
            <w:r w:rsidR="00FE16C0">
              <w:rPr>
                <w:rFonts w:ascii="Times New Roman" w:hAnsi="Times New Roman"/>
                <w:color w:val="000000"/>
              </w:rPr>
              <w:br/>
            </w:r>
            <w:r w:rsidR="00FE16C0">
              <w:rPr>
                <w:rFonts w:ascii="Times New Roman" w:hAnsi="Times New Roman"/>
                <w:b/>
                <w:sz w:val="21"/>
                <w:szCs w:val="24"/>
              </w:rPr>
              <w:br/>
            </w:r>
            <w:r w:rsidR="001B3460" w:rsidRPr="00642825">
              <w:rPr>
                <w:rFonts w:ascii="Times New Roman" w:hAnsi="Times New Roman"/>
                <w:b/>
                <w:sz w:val="21"/>
                <w:szCs w:val="24"/>
              </w:rPr>
              <w:t>Osoba odpowiedzialna za projekt w randze Ministra, Sekretarza Stanu lub Podsekretarza Stanu</w:t>
            </w:r>
            <w:r w:rsidR="001B3460" w:rsidRPr="00642825">
              <w:rPr>
                <w:rFonts w:ascii="Times New Roman" w:hAnsi="Times New Roman"/>
                <w:b/>
                <w:sz w:val="21"/>
                <w:szCs w:val="21"/>
              </w:rPr>
              <w:t xml:space="preserve"> </w:t>
            </w:r>
          </w:p>
          <w:p w14:paraId="4AC764B9" w14:textId="0A7C0D9F" w:rsidR="00FE16C0" w:rsidRPr="0028585E" w:rsidRDefault="00FE16C0" w:rsidP="00FE16C0">
            <w:pPr>
              <w:spacing w:line="240" w:lineRule="auto"/>
              <w:jc w:val="both"/>
              <w:rPr>
                <w:rFonts w:ascii="Times New Roman" w:hAnsi="Times New Roman"/>
                <w:bCs/>
              </w:rPr>
            </w:pPr>
            <w:r w:rsidRPr="0028585E">
              <w:rPr>
                <w:rFonts w:ascii="Times New Roman" w:hAnsi="Times New Roman"/>
                <w:bCs/>
              </w:rPr>
              <w:t>Pan</w:t>
            </w:r>
            <w:r>
              <w:rPr>
                <w:rFonts w:ascii="Times New Roman" w:hAnsi="Times New Roman"/>
                <w:bCs/>
              </w:rPr>
              <w:t xml:space="preserve">i </w:t>
            </w:r>
            <w:r w:rsidR="00A925DF">
              <w:rPr>
                <w:rFonts w:ascii="Times New Roman" w:hAnsi="Times New Roman"/>
                <w:bCs/>
              </w:rPr>
              <w:t>Katarzyna Kęcka</w:t>
            </w:r>
            <w:r>
              <w:rPr>
                <w:rFonts w:ascii="Times New Roman" w:hAnsi="Times New Roman"/>
                <w:bCs/>
              </w:rPr>
              <w:t xml:space="preserve">, </w:t>
            </w:r>
            <w:r w:rsidRPr="0028585E">
              <w:rPr>
                <w:rFonts w:ascii="Times New Roman" w:hAnsi="Times New Roman"/>
                <w:bCs/>
              </w:rPr>
              <w:t>Podsekretarz Stanu w Ministerstwie Zdrowia</w:t>
            </w:r>
          </w:p>
          <w:p w14:paraId="088EEB8C" w14:textId="734B8192" w:rsidR="00A37BB7" w:rsidRPr="00D51ED1" w:rsidRDefault="006A701A" w:rsidP="00D51ED1">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r w:rsidR="00BA7817">
              <w:rPr>
                <w:rFonts w:ascii="Times New Roman" w:hAnsi="Times New Roman"/>
                <w:b/>
                <w:color w:val="000000"/>
              </w:rPr>
              <w:br/>
            </w:r>
            <w:r w:rsidR="00FE16C0" w:rsidRPr="00FE16C0">
              <w:rPr>
                <w:rFonts w:ascii="Times New Roman" w:hAnsi="Times New Roman"/>
                <w:color w:val="000000"/>
              </w:rPr>
              <w:t>Magdalena Przydatek, Zastępca dyrektora Departamentu Rozwoju Kadr</w:t>
            </w:r>
            <w:r w:rsidR="00FE16C0">
              <w:rPr>
                <w:rFonts w:ascii="Times New Roman" w:hAnsi="Times New Roman"/>
                <w:color w:val="000000"/>
              </w:rPr>
              <w:t xml:space="preserve"> </w:t>
            </w:r>
            <w:r w:rsidR="00FE16C0" w:rsidRPr="00FE16C0">
              <w:rPr>
                <w:rFonts w:ascii="Times New Roman" w:hAnsi="Times New Roman"/>
                <w:color w:val="000000"/>
              </w:rPr>
              <w:t>Medycznych,</w:t>
            </w:r>
            <w:r w:rsidR="00D51ED1">
              <w:rPr>
                <w:rFonts w:ascii="Times New Roman" w:hAnsi="Times New Roman"/>
                <w:b/>
                <w:color w:val="000000"/>
              </w:rPr>
              <w:t xml:space="preserve"> </w:t>
            </w:r>
            <w:r w:rsidR="00FE16C0" w:rsidRPr="00FE16C0">
              <w:rPr>
                <w:rFonts w:ascii="Times New Roman" w:hAnsi="Times New Roman"/>
                <w:color w:val="000000"/>
                <w:lang w:val="fr-FR"/>
              </w:rPr>
              <w:t xml:space="preserve">tel.: 532 407 782, e-mail: </w:t>
            </w:r>
            <w:hyperlink r:id="rId8" w:history="1">
              <w:r w:rsidR="00A37BB7" w:rsidRPr="007B3A94">
                <w:rPr>
                  <w:rStyle w:val="Hipercze"/>
                  <w:rFonts w:ascii="Times New Roman" w:hAnsi="Times New Roman"/>
                  <w:lang w:val="fr-FR"/>
                </w:rPr>
                <w:t>dep-rkm@mz.gov.pl</w:t>
              </w:r>
            </w:hyperlink>
          </w:p>
        </w:tc>
        <w:tc>
          <w:tcPr>
            <w:tcW w:w="4306" w:type="dxa"/>
            <w:gridSpan w:val="12"/>
            <w:shd w:val="clear" w:color="auto" w:fill="FFFFFF"/>
          </w:tcPr>
          <w:p w14:paraId="6DEF205D" w14:textId="71C3E253"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CB6821">
              <w:rPr>
                <w:rFonts w:ascii="Times New Roman" w:hAnsi="Times New Roman"/>
                <w:sz w:val="21"/>
                <w:szCs w:val="21"/>
              </w:rPr>
              <w:t>14</w:t>
            </w:r>
            <w:r w:rsidR="00A925DF">
              <w:rPr>
                <w:rFonts w:ascii="Times New Roman" w:hAnsi="Times New Roman"/>
                <w:sz w:val="21"/>
                <w:szCs w:val="21"/>
              </w:rPr>
              <w:t>.</w:t>
            </w:r>
            <w:r w:rsidR="00F526FD">
              <w:rPr>
                <w:rFonts w:ascii="Times New Roman" w:hAnsi="Times New Roman"/>
                <w:sz w:val="21"/>
                <w:szCs w:val="21"/>
              </w:rPr>
              <w:t>10</w:t>
            </w:r>
            <w:r w:rsidR="00FE16C0">
              <w:rPr>
                <w:rFonts w:ascii="Times New Roman" w:hAnsi="Times New Roman"/>
                <w:sz w:val="21"/>
                <w:szCs w:val="21"/>
              </w:rPr>
              <w:t>.2025</w:t>
            </w:r>
          </w:p>
          <w:p w14:paraId="09B98D12" w14:textId="77777777" w:rsidR="00F76884" w:rsidRDefault="00F76884" w:rsidP="00F76884">
            <w:pPr>
              <w:spacing w:line="240" w:lineRule="auto"/>
              <w:rPr>
                <w:rFonts w:ascii="Times New Roman" w:hAnsi="Times New Roman"/>
                <w:b/>
              </w:rPr>
            </w:pPr>
          </w:p>
          <w:p w14:paraId="2E6593A1"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1" w:name="Lista1"/>
          </w:p>
          <w:bookmarkEnd w:id="1"/>
          <w:p w14:paraId="09DD41C9" w14:textId="4E3ED2EB" w:rsidR="00F76884" w:rsidRPr="0065019F" w:rsidRDefault="00A925DF" w:rsidP="00F76884">
            <w:pPr>
              <w:spacing w:line="240" w:lineRule="auto"/>
              <w:rPr>
                <w:rFonts w:ascii="Times New Roman" w:hAnsi="Times New Roman"/>
              </w:rPr>
            </w:pPr>
            <w:r w:rsidRPr="00A925DF">
              <w:rPr>
                <w:rFonts w:ascii="Times New Roman" w:hAnsi="Times New Roman"/>
              </w:rPr>
              <w:t xml:space="preserve">art. 462 ust. 2 ustawy z dnia 20 lipca 2018 r. – Prawo o szkolnictwie wyższym i nauce (Dz. U. z 2024 r. poz. 1571, </w:t>
            </w:r>
            <w:r>
              <w:rPr>
                <w:rFonts w:ascii="Times New Roman" w:hAnsi="Times New Roman"/>
              </w:rPr>
              <w:t>z późn. zm.)</w:t>
            </w:r>
          </w:p>
          <w:p w14:paraId="081CC594" w14:textId="77777777" w:rsidR="00D51ED1"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w:t>
            </w:r>
            <w:r w:rsidR="00B06EE9">
              <w:t xml:space="preserve"> </w:t>
            </w:r>
            <w:r w:rsidR="00B06EE9" w:rsidRPr="00B06EE9">
              <w:rPr>
                <w:rFonts w:ascii="Times New Roman" w:hAnsi="Times New Roman"/>
                <w:b/>
                <w:color w:val="000000"/>
              </w:rPr>
              <w:t>legislacyjnych Ministra Zdrowia</w:t>
            </w:r>
            <w:r w:rsidR="00B06EE9">
              <w:rPr>
                <w:rFonts w:ascii="Times New Roman" w:hAnsi="Times New Roman"/>
                <w:b/>
                <w:color w:val="000000"/>
              </w:rPr>
              <w:t>:</w:t>
            </w:r>
            <w:r w:rsidR="00316E48">
              <w:rPr>
                <w:rFonts w:ascii="Times New Roman" w:hAnsi="Times New Roman"/>
                <w:b/>
                <w:color w:val="000000"/>
              </w:rPr>
              <w:t xml:space="preserve"> </w:t>
            </w:r>
          </w:p>
          <w:p w14:paraId="08317BA3" w14:textId="3C544661" w:rsidR="006A701A" w:rsidRPr="008B4FE6" w:rsidRDefault="00FE16C0" w:rsidP="007943E2">
            <w:pPr>
              <w:spacing w:before="120" w:line="240" w:lineRule="auto"/>
              <w:rPr>
                <w:rFonts w:ascii="Times New Roman" w:hAnsi="Times New Roman"/>
                <w:b/>
                <w:color w:val="000000"/>
              </w:rPr>
            </w:pPr>
            <w:r>
              <w:rPr>
                <w:rFonts w:ascii="Times New Roman" w:hAnsi="Times New Roman"/>
                <w:b/>
                <w:color w:val="000000"/>
              </w:rPr>
              <w:t>MZ</w:t>
            </w:r>
            <w:r w:rsidR="006A701A" w:rsidRPr="008B4FE6">
              <w:rPr>
                <w:rFonts w:ascii="Times New Roman" w:hAnsi="Times New Roman"/>
                <w:b/>
                <w:color w:val="000000"/>
              </w:rPr>
              <w:t xml:space="preserve"> </w:t>
            </w:r>
            <w:r w:rsidR="009E42D5" w:rsidRPr="009E42D5">
              <w:rPr>
                <w:rFonts w:ascii="Times New Roman" w:hAnsi="Times New Roman"/>
                <w:b/>
                <w:color w:val="000000"/>
              </w:rPr>
              <w:t>1835</w:t>
            </w:r>
          </w:p>
          <w:p w14:paraId="6D60D7DB" w14:textId="77777777" w:rsidR="006A701A" w:rsidRPr="008B4FE6" w:rsidRDefault="006A701A" w:rsidP="00FE16C0">
            <w:pPr>
              <w:spacing w:line="240" w:lineRule="auto"/>
              <w:rPr>
                <w:rFonts w:ascii="Times New Roman" w:hAnsi="Times New Roman"/>
                <w:color w:val="000000"/>
                <w:sz w:val="28"/>
                <w:szCs w:val="28"/>
              </w:rPr>
            </w:pPr>
          </w:p>
        </w:tc>
      </w:tr>
      <w:tr w:rsidR="006A701A" w:rsidRPr="0022687A" w14:paraId="7DB79807" w14:textId="77777777" w:rsidTr="00676C8D">
        <w:trPr>
          <w:gridAfter w:val="1"/>
          <w:wAfter w:w="10" w:type="dxa"/>
          <w:trHeight w:val="142"/>
        </w:trPr>
        <w:tc>
          <w:tcPr>
            <w:tcW w:w="10937" w:type="dxa"/>
            <w:gridSpan w:val="29"/>
            <w:shd w:val="clear" w:color="auto" w:fill="99CCFF"/>
          </w:tcPr>
          <w:p w14:paraId="0E376202"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2AA704F3" w14:textId="77777777" w:rsidTr="00676C8D">
        <w:trPr>
          <w:gridAfter w:val="1"/>
          <w:wAfter w:w="10" w:type="dxa"/>
          <w:trHeight w:val="333"/>
        </w:trPr>
        <w:tc>
          <w:tcPr>
            <w:tcW w:w="10937" w:type="dxa"/>
            <w:gridSpan w:val="29"/>
            <w:shd w:val="clear" w:color="auto" w:fill="99CCFF"/>
            <w:vAlign w:val="center"/>
          </w:tcPr>
          <w:p w14:paraId="07503251"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2" w:name="Wybór1"/>
            <w:bookmarkEnd w:id="2"/>
          </w:p>
        </w:tc>
      </w:tr>
      <w:tr w:rsidR="006A701A" w:rsidRPr="008B4FE6" w14:paraId="2AB90334" w14:textId="77777777" w:rsidTr="00676C8D">
        <w:trPr>
          <w:gridAfter w:val="1"/>
          <w:wAfter w:w="10" w:type="dxa"/>
          <w:trHeight w:val="142"/>
        </w:trPr>
        <w:tc>
          <w:tcPr>
            <w:tcW w:w="10937" w:type="dxa"/>
            <w:gridSpan w:val="29"/>
            <w:shd w:val="clear" w:color="auto" w:fill="FFFFFF"/>
          </w:tcPr>
          <w:p w14:paraId="4D6C8D12" w14:textId="0CC51EA6" w:rsidR="00074D5E" w:rsidRDefault="00A925DF" w:rsidP="00BA7817">
            <w:pPr>
              <w:spacing w:before="120" w:line="240" w:lineRule="auto"/>
              <w:jc w:val="both"/>
              <w:rPr>
                <w:rFonts w:ascii="Times New Roman" w:hAnsi="Times New Roman"/>
                <w:color w:val="000000"/>
              </w:rPr>
            </w:pPr>
            <w:r>
              <w:rPr>
                <w:rFonts w:ascii="Times New Roman" w:hAnsi="Times New Roman"/>
                <w:color w:val="000000"/>
              </w:rPr>
              <w:t>Z</w:t>
            </w:r>
            <w:r w:rsidRPr="00A925DF">
              <w:rPr>
                <w:rFonts w:ascii="Times New Roman" w:hAnsi="Times New Roman"/>
                <w:color w:val="000000"/>
              </w:rPr>
              <w:t>ałącznik nr 1</w:t>
            </w:r>
            <w:r>
              <w:rPr>
                <w:rFonts w:ascii="Times New Roman" w:hAnsi="Times New Roman"/>
                <w:color w:val="000000"/>
              </w:rPr>
              <w:t xml:space="preserve"> </w:t>
            </w:r>
            <w:r w:rsidR="00E8062C">
              <w:rPr>
                <w:rFonts w:ascii="Times New Roman" w:hAnsi="Times New Roman"/>
                <w:color w:val="000000"/>
              </w:rPr>
              <w:t xml:space="preserve">do </w:t>
            </w:r>
            <w:r>
              <w:rPr>
                <w:rFonts w:ascii="Times New Roman" w:hAnsi="Times New Roman"/>
                <w:color w:val="000000"/>
              </w:rPr>
              <w:t xml:space="preserve">rozporządzenia Ministra Zdrowia </w:t>
            </w:r>
            <w:r w:rsidRPr="00A925DF">
              <w:rPr>
                <w:rFonts w:ascii="Times New Roman" w:hAnsi="Times New Roman"/>
                <w:color w:val="000000"/>
              </w:rPr>
              <w:t xml:space="preserve">z dnia </w:t>
            </w:r>
            <w:r w:rsidR="00823CAF" w:rsidRPr="00823CAF">
              <w:rPr>
                <w:rFonts w:ascii="Times New Roman" w:hAnsi="Times New Roman"/>
                <w:color w:val="000000"/>
              </w:rPr>
              <w:t>21 czerwca</w:t>
            </w:r>
            <w:r w:rsidRPr="00A925DF">
              <w:rPr>
                <w:rFonts w:ascii="Times New Roman" w:hAnsi="Times New Roman"/>
                <w:color w:val="000000"/>
              </w:rPr>
              <w:t xml:space="preserve"> 2019 r. w sprawie sposobu podziału środków finansowych dla uczelni medycznych nadzorowanych przez ministra właściwego do spraw zdrowia (Dz. U. z 2023 r. poz. 1005)</w:t>
            </w:r>
            <w:r w:rsidR="000D3AB0">
              <w:rPr>
                <w:rFonts w:ascii="Times New Roman" w:hAnsi="Times New Roman"/>
                <w:color w:val="000000"/>
              </w:rPr>
              <w:t>, zwane</w:t>
            </w:r>
            <w:r w:rsidR="008B3F60">
              <w:rPr>
                <w:rFonts w:ascii="Times New Roman" w:hAnsi="Times New Roman"/>
                <w:color w:val="000000"/>
              </w:rPr>
              <w:t>go</w:t>
            </w:r>
            <w:r w:rsidR="000D3AB0">
              <w:rPr>
                <w:rFonts w:ascii="Times New Roman" w:hAnsi="Times New Roman"/>
                <w:color w:val="000000"/>
              </w:rPr>
              <w:t xml:space="preserve"> dalej „rozporządzeniem”,</w:t>
            </w:r>
            <w:r w:rsidRPr="00A925DF">
              <w:rPr>
                <w:rFonts w:ascii="Times New Roman" w:hAnsi="Times New Roman"/>
                <w:color w:val="000000"/>
              </w:rPr>
              <w:t xml:space="preserve"> </w:t>
            </w:r>
            <w:r>
              <w:rPr>
                <w:rFonts w:ascii="Times New Roman" w:hAnsi="Times New Roman"/>
                <w:color w:val="000000"/>
              </w:rPr>
              <w:t xml:space="preserve">określa sposób </w:t>
            </w:r>
            <w:r w:rsidRPr="00A925DF">
              <w:rPr>
                <w:rFonts w:ascii="Times New Roman" w:hAnsi="Times New Roman"/>
                <w:color w:val="000000"/>
              </w:rPr>
              <w:t>podziału części zasadniczej środków finansowych na utrzymanie i rozwój potencjału dydaktycznego oraz potencjału badawczego dla uczelni medycznych nadzorowanych przez ministra właściwego do spraw zdrowia</w:t>
            </w:r>
            <w:r>
              <w:rPr>
                <w:rFonts w:ascii="Times New Roman" w:hAnsi="Times New Roman"/>
                <w:color w:val="000000"/>
              </w:rPr>
              <w:t xml:space="preserve">. </w:t>
            </w:r>
          </w:p>
          <w:p w14:paraId="630A674F" w14:textId="2B8132ED" w:rsidR="00074D5E" w:rsidRDefault="000D3AB0" w:rsidP="00BA7817">
            <w:pPr>
              <w:spacing w:before="120" w:line="240" w:lineRule="auto"/>
              <w:jc w:val="both"/>
              <w:rPr>
                <w:rFonts w:ascii="Times New Roman" w:hAnsi="Times New Roman"/>
                <w:color w:val="000000"/>
              </w:rPr>
            </w:pPr>
            <w:r>
              <w:rPr>
                <w:rFonts w:ascii="Times New Roman" w:hAnsi="Times New Roman"/>
                <w:color w:val="000000"/>
              </w:rPr>
              <w:t>R</w:t>
            </w:r>
            <w:r w:rsidR="00074D5E" w:rsidRPr="00074D5E">
              <w:rPr>
                <w:rFonts w:ascii="Times New Roman" w:hAnsi="Times New Roman"/>
                <w:color w:val="000000"/>
              </w:rPr>
              <w:t xml:space="preserve">ozporządzenie </w:t>
            </w:r>
            <w:r w:rsidR="00991C4A">
              <w:rPr>
                <w:rFonts w:ascii="Times New Roman" w:hAnsi="Times New Roman"/>
                <w:color w:val="000000"/>
              </w:rPr>
              <w:t>weszło życie w</w:t>
            </w:r>
            <w:r w:rsidR="00074D5E" w:rsidRPr="00074D5E">
              <w:rPr>
                <w:rFonts w:ascii="Times New Roman" w:hAnsi="Times New Roman"/>
                <w:color w:val="000000"/>
              </w:rPr>
              <w:t xml:space="preserve"> 2019 r.</w:t>
            </w:r>
            <w:r>
              <w:rPr>
                <w:rFonts w:ascii="Times New Roman" w:hAnsi="Times New Roman"/>
                <w:color w:val="000000"/>
              </w:rPr>
              <w:t xml:space="preserve">, </w:t>
            </w:r>
            <w:r w:rsidR="00074D5E" w:rsidRPr="00074D5E">
              <w:rPr>
                <w:rFonts w:ascii="Times New Roman" w:hAnsi="Times New Roman"/>
                <w:color w:val="000000"/>
              </w:rPr>
              <w:t xml:space="preserve">w związku z </w:t>
            </w:r>
            <w:r w:rsidR="007B3257">
              <w:rPr>
                <w:rFonts w:ascii="Times New Roman" w:hAnsi="Times New Roman"/>
                <w:color w:val="000000"/>
              </w:rPr>
              <w:t>uchwalenie</w:t>
            </w:r>
            <w:r w:rsidR="008B3F60">
              <w:rPr>
                <w:rFonts w:ascii="Times New Roman" w:hAnsi="Times New Roman"/>
                <w:color w:val="000000"/>
              </w:rPr>
              <w:t>m</w:t>
            </w:r>
            <w:r w:rsidR="007B3257" w:rsidRPr="00074D5E">
              <w:rPr>
                <w:rFonts w:ascii="Times New Roman" w:hAnsi="Times New Roman"/>
                <w:color w:val="000000"/>
              </w:rPr>
              <w:t xml:space="preserve"> </w:t>
            </w:r>
            <w:r w:rsidR="00074D5E" w:rsidRPr="00074D5E">
              <w:rPr>
                <w:rFonts w:ascii="Times New Roman" w:hAnsi="Times New Roman"/>
                <w:color w:val="000000"/>
              </w:rPr>
              <w:t xml:space="preserve">ustawy </w:t>
            </w:r>
            <w:r w:rsidR="008B3F60">
              <w:rPr>
                <w:rFonts w:ascii="Times New Roman" w:hAnsi="Times New Roman"/>
                <w:color w:val="000000"/>
              </w:rPr>
              <w:t xml:space="preserve">z dnia </w:t>
            </w:r>
            <w:r w:rsidR="008438A1">
              <w:rPr>
                <w:rFonts w:ascii="Times New Roman" w:hAnsi="Times New Roman"/>
                <w:color w:val="000000"/>
              </w:rPr>
              <w:t xml:space="preserve">20 lipca 2018 r. </w:t>
            </w:r>
            <w:r w:rsidR="00507ACC" w:rsidRPr="00507ACC">
              <w:rPr>
                <w:rFonts w:ascii="Times New Roman" w:hAnsi="Times New Roman"/>
                <w:color w:val="000000"/>
              </w:rPr>
              <w:t xml:space="preserve">– </w:t>
            </w:r>
            <w:r w:rsidR="00507ACC">
              <w:rPr>
                <w:rFonts w:ascii="Times New Roman" w:hAnsi="Times New Roman"/>
                <w:color w:val="000000"/>
              </w:rPr>
              <w:t xml:space="preserve"> </w:t>
            </w:r>
            <w:r w:rsidR="00074D5E" w:rsidRPr="00074D5E">
              <w:rPr>
                <w:rFonts w:ascii="Times New Roman" w:hAnsi="Times New Roman"/>
                <w:color w:val="000000"/>
              </w:rPr>
              <w:t>Prawo o szkolnictwie wyższym i nauce</w:t>
            </w:r>
            <w:r w:rsidR="001F7D55">
              <w:rPr>
                <w:rFonts w:ascii="Times New Roman" w:hAnsi="Times New Roman"/>
                <w:color w:val="000000"/>
              </w:rPr>
              <w:t>.</w:t>
            </w:r>
            <w:r w:rsidR="00E8062C">
              <w:rPr>
                <w:rFonts w:ascii="Times New Roman" w:hAnsi="Times New Roman"/>
                <w:color w:val="000000"/>
              </w:rPr>
              <w:t xml:space="preserve"> </w:t>
            </w:r>
            <w:r w:rsidR="00074D5E" w:rsidRPr="00074D5E">
              <w:rPr>
                <w:rFonts w:ascii="Times New Roman" w:hAnsi="Times New Roman"/>
                <w:color w:val="000000"/>
              </w:rPr>
              <w:t xml:space="preserve">W pierwszych latach obowiązywania rozporządzenia </w:t>
            </w:r>
            <w:r w:rsidR="007B3257">
              <w:rPr>
                <w:rFonts w:ascii="Times New Roman" w:hAnsi="Times New Roman"/>
                <w:color w:val="000000"/>
              </w:rPr>
              <w:t>przewidziano</w:t>
            </w:r>
            <w:r w:rsidR="00074D5E" w:rsidRPr="00074D5E">
              <w:rPr>
                <w:rFonts w:ascii="Times New Roman" w:hAnsi="Times New Roman"/>
                <w:color w:val="000000"/>
              </w:rPr>
              <w:t xml:space="preserve"> mechanizm dostosowania podziału subwencji do nowych regulacji ustawowych. Jednocześnie algorytm podziału subwencji </w:t>
            </w:r>
            <w:r w:rsidR="00074D5E">
              <w:rPr>
                <w:rFonts w:ascii="Times New Roman" w:hAnsi="Times New Roman"/>
                <w:color w:val="000000"/>
              </w:rPr>
              <w:t xml:space="preserve">określony </w:t>
            </w:r>
            <w:r w:rsidR="00074D5E" w:rsidRPr="00074D5E">
              <w:rPr>
                <w:rFonts w:ascii="Times New Roman" w:hAnsi="Times New Roman"/>
                <w:color w:val="000000"/>
              </w:rPr>
              <w:t xml:space="preserve">dla uczelni medycznych </w:t>
            </w:r>
            <w:r w:rsidR="00074D5E">
              <w:rPr>
                <w:rFonts w:ascii="Times New Roman" w:hAnsi="Times New Roman"/>
                <w:color w:val="000000"/>
              </w:rPr>
              <w:t>w załączniku nr 1 do rozporządzenia jest</w:t>
            </w:r>
            <w:r w:rsidR="00074D5E" w:rsidRPr="00074D5E">
              <w:rPr>
                <w:rFonts w:ascii="Times New Roman" w:hAnsi="Times New Roman"/>
                <w:color w:val="000000"/>
              </w:rPr>
              <w:t xml:space="preserve"> kopią opartą na rozwiązaniach przyjętych przez Ministerstwo Nauki i Szkolnictwa Wyższego dla uczelni akademickich nadzorowanych przez ten resort. Tym samym rozporządzenie nie </w:t>
            </w:r>
            <w:r w:rsidR="003303E1">
              <w:rPr>
                <w:rFonts w:ascii="Times New Roman" w:hAnsi="Times New Roman"/>
                <w:color w:val="000000"/>
              </w:rPr>
              <w:t>uwzględniało</w:t>
            </w:r>
            <w:r w:rsidR="003303E1" w:rsidRPr="00074D5E">
              <w:rPr>
                <w:rFonts w:ascii="Times New Roman" w:hAnsi="Times New Roman"/>
                <w:color w:val="000000"/>
              </w:rPr>
              <w:t xml:space="preserve"> </w:t>
            </w:r>
            <w:r w:rsidR="00074D5E" w:rsidRPr="00074D5E">
              <w:rPr>
                <w:rFonts w:ascii="Times New Roman" w:hAnsi="Times New Roman"/>
                <w:color w:val="000000"/>
              </w:rPr>
              <w:t>rozwiązań specyficznych dla uczelni medycznych.</w:t>
            </w:r>
          </w:p>
          <w:p w14:paraId="09415726" w14:textId="335E6734" w:rsidR="00621D11" w:rsidRPr="00CE07FD" w:rsidRDefault="00074D5E" w:rsidP="009C293C">
            <w:pPr>
              <w:spacing w:after="120" w:line="240" w:lineRule="auto"/>
              <w:jc w:val="both"/>
              <w:rPr>
                <w:rFonts w:ascii="Times New Roman" w:hAnsi="Times New Roman"/>
                <w:color w:val="000000"/>
              </w:rPr>
            </w:pPr>
            <w:r w:rsidRPr="00074D5E">
              <w:rPr>
                <w:rFonts w:ascii="Times New Roman" w:hAnsi="Times New Roman"/>
                <w:color w:val="000000"/>
              </w:rPr>
              <w:t xml:space="preserve">Analiza dystrybucji subwencji </w:t>
            </w:r>
            <w:r w:rsidR="003303E1">
              <w:rPr>
                <w:rFonts w:ascii="Times New Roman" w:hAnsi="Times New Roman"/>
                <w:color w:val="000000"/>
              </w:rPr>
              <w:t>w okresie</w:t>
            </w:r>
            <w:r w:rsidRPr="00074D5E">
              <w:rPr>
                <w:rFonts w:ascii="Times New Roman" w:hAnsi="Times New Roman"/>
                <w:color w:val="000000"/>
              </w:rPr>
              <w:t xml:space="preserve"> siedmiu lat funkcjonowania aktualnych przepisów prowadzi do </w:t>
            </w:r>
            <w:r w:rsidR="003303E1" w:rsidRPr="00074D5E">
              <w:rPr>
                <w:rFonts w:ascii="Times New Roman" w:hAnsi="Times New Roman"/>
                <w:color w:val="000000"/>
              </w:rPr>
              <w:t>wniosk</w:t>
            </w:r>
            <w:r w:rsidR="003303E1">
              <w:rPr>
                <w:rFonts w:ascii="Times New Roman" w:hAnsi="Times New Roman"/>
                <w:color w:val="000000"/>
              </w:rPr>
              <w:t>u</w:t>
            </w:r>
            <w:r w:rsidRPr="00074D5E">
              <w:rPr>
                <w:rFonts w:ascii="Times New Roman" w:hAnsi="Times New Roman"/>
                <w:color w:val="000000"/>
              </w:rPr>
              <w:t>, że</w:t>
            </w:r>
            <w:r w:rsidR="003303E1">
              <w:rPr>
                <w:rFonts w:ascii="Times New Roman" w:hAnsi="Times New Roman"/>
                <w:color w:val="000000"/>
              </w:rPr>
              <w:t xml:space="preserve"> </w:t>
            </w:r>
            <w:r w:rsidRPr="00074D5E">
              <w:rPr>
                <w:rFonts w:ascii="Times New Roman" w:hAnsi="Times New Roman"/>
                <w:color w:val="000000"/>
              </w:rPr>
              <w:t xml:space="preserve">aktualny algorytm podziału subwencji dla uczelni medycznych nie stymuluje zachowań uczelni </w:t>
            </w:r>
            <w:r w:rsidR="003303E1" w:rsidRPr="003303E1">
              <w:rPr>
                <w:rFonts w:ascii="Times New Roman" w:hAnsi="Times New Roman"/>
                <w:color w:val="000000"/>
              </w:rPr>
              <w:t>do działań zgodnych z założeniami</w:t>
            </w:r>
            <w:r w:rsidRPr="00074D5E">
              <w:rPr>
                <w:rFonts w:ascii="Times New Roman" w:hAnsi="Times New Roman"/>
                <w:color w:val="000000"/>
              </w:rPr>
              <w:t xml:space="preserve"> polityki</w:t>
            </w:r>
            <w:r w:rsidR="003303E1">
              <w:rPr>
                <w:rFonts w:ascii="Times New Roman" w:hAnsi="Times New Roman"/>
                <w:color w:val="000000"/>
              </w:rPr>
              <w:t xml:space="preserve"> </w:t>
            </w:r>
            <w:r w:rsidRPr="00074D5E">
              <w:rPr>
                <w:rFonts w:ascii="Times New Roman" w:hAnsi="Times New Roman"/>
                <w:color w:val="000000"/>
              </w:rPr>
              <w:t>zdrowotnej i kształcenia na potrzeby zasilenia kadr ochrony zdrowia.</w:t>
            </w:r>
            <w:r>
              <w:rPr>
                <w:rFonts w:ascii="Times New Roman" w:hAnsi="Times New Roman"/>
                <w:color w:val="000000"/>
              </w:rPr>
              <w:t xml:space="preserve"> Niezbędne jest zatem wprowadzenie do załącznika nr 1 do rozporządzenia składników podziału subwencji stymulując</w:t>
            </w:r>
            <w:r w:rsidR="008B3F60">
              <w:rPr>
                <w:rFonts w:ascii="Times New Roman" w:hAnsi="Times New Roman"/>
                <w:color w:val="000000"/>
              </w:rPr>
              <w:t>ych</w:t>
            </w:r>
            <w:r>
              <w:rPr>
                <w:rFonts w:ascii="Times New Roman" w:hAnsi="Times New Roman"/>
                <w:color w:val="000000"/>
              </w:rPr>
              <w:t xml:space="preserve"> </w:t>
            </w:r>
            <w:r w:rsidR="00621D11">
              <w:rPr>
                <w:rFonts w:ascii="Times New Roman" w:hAnsi="Times New Roman"/>
                <w:color w:val="000000"/>
              </w:rPr>
              <w:t>podejmowanie przez uczelnie działań ważnych</w:t>
            </w:r>
            <w:r w:rsidR="003303E1">
              <w:rPr>
                <w:rFonts w:ascii="Times New Roman" w:hAnsi="Times New Roman"/>
                <w:color w:val="000000"/>
              </w:rPr>
              <w:t xml:space="preserve"> z </w:t>
            </w:r>
            <w:r w:rsidR="00621D11">
              <w:rPr>
                <w:rFonts w:ascii="Times New Roman" w:hAnsi="Times New Roman"/>
                <w:color w:val="000000"/>
              </w:rPr>
              <w:t>perspektywy ochrony zdrowia.</w:t>
            </w:r>
          </w:p>
        </w:tc>
      </w:tr>
      <w:tr w:rsidR="006A701A" w:rsidRPr="008B4FE6" w14:paraId="60BD0F24" w14:textId="77777777" w:rsidTr="00676C8D">
        <w:trPr>
          <w:gridAfter w:val="1"/>
          <w:wAfter w:w="10" w:type="dxa"/>
          <w:trHeight w:val="142"/>
        </w:trPr>
        <w:tc>
          <w:tcPr>
            <w:tcW w:w="10937" w:type="dxa"/>
            <w:gridSpan w:val="29"/>
            <w:shd w:val="clear" w:color="auto" w:fill="99CCFF"/>
            <w:vAlign w:val="center"/>
          </w:tcPr>
          <w:p w14:paraId="16BCB6CA" w14:textId="77777777"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14:paraId="6BCFB3E5" w14:textId="77777777" w:rsidTr="00676C8D">
        <w:trPr>
          <w:gridAfter w:val="1"/>
          <w:wAfter w:w="10" w:type="dxa"/>
          <w:trHeight w:val="142"/>
        </w:trPr>
        <w:tc>
          <w:tcPr>
            <w:tcW w:w="10937" w:type="dxa"/>
            <w:gridSpan w:val="29"/>
          </w:tcPr>
          <w:p w14:paraId="4FFAB4EA" w14:textId="78DED7D4" w:rsidR="006A701A" w:rsidRDefault="0044735C" w:rsidP="005C55B0">
            <w:pPr>
              <w:spacing w:before="120" w:after="120" w:line="240" w:lineRule="auto"/>
              <w:jc w:val="both"/>
              <w:rPr>
                <w:rFonts w:ascii="Times New Roman" w:hAnsi="Times New Roman"/>
                <w:color w:val="000000"/>
                <w:spacing w:val="-2"/>
              </w:rPr>
            </w:pPr>
            <w:r w:rsidRPr="0044735C">
              <w:rPr>
                <w:rFonts w:ascii="Times New Roman" w:hAnsi="Times New Roman"/>
                <w:color w:val="000000"/>
                <w:spacing w:val="-2"/>
              </w:rPr>
              <w:t xml:space="preserve">Rekomendowanym rozwiązaniem jest wprowadzenie w </w:t>
            </w:r>
            <w:r w:rsidR="00621D11">
              <w:rPr>
                <w:rFonts w:ascii="Times New Roman" w:hAnsi="Times New Roman"/>
                <w:color w:val="000000"/>
                <w:spacing w:val="-2"/>
              </w:rPr>
              <w:t xml:space="preserve">załączniku nr 1 </w:t>
            </w:r>
            <w:r w:rsidR="00E8062C">
              <w:rPr>
                <w:rFonts w:ascii="Times New Roman" w:hAnsi="Times New Roman"/>
                <w:color w:val="000000"/>
                <w:spacing w:val="-2"/>
              </w:rPr>
              <w:t xml:space="preserve">do </w:t>
            </w:r>
            <w:r w:rsidRPr="0044735C">
              <w:rPr>
                <w:rFonts w:ascii="Times New Roman" w:hAnsi="Times New Roman"/>
                <w:color w:val="000000"/>
                <w:spacing w:val="-2"/>
              </w:rPr>
              <w:t>nowelizowan</w:t>
            </w:r>
            <w:r w:rsidR="00621D11">
              <w:rPr>
                <w:rFonts w:ascii="Times New Roman" w:hAnsi="Times New Roman"/>
                <w:color w:val="000000"/>
                <w:spacing w:val="-2"/>
              </w:rPr>
              <w:t>ego</w:t>
            </w:r>
            <w:r w:rsidRPr="0044735C">
              <w:rPr>
                <w:rFonts w:ascii="Times New Roman" w:hAnsi="Times New Roman"/>
                <w:color w:val="000000"/>
                <w:spacing w:val="-2"/>
              </w:rPr>
              <w:t xml:space="preserve"> rozporządzeni</w:t>
            </w:r>
            <w:r w:rsidR="00621D11">
              <w:rPr>
                <w:rFonts w:ascii="Times New Roman" w:hAnsi="Times New Roman"/>
                <w:color w:val="000000"/>
                <w:spacing w:val="-2"/>
              </w:rPr>
              <w:t>a</w:t>
            </w:r>
            <w:r w:rsidRPr="0044735C">
              <w:rPr>
                <w:rFonts w:ascii="Times New Roman" w:hAnsi="Times New Roman"/>
                <w:color w:val="000000"/>
                <w:spacing w:val="-2"/>
              </w:rPr>
              <w:t xml:space="preserve"> następujących zmian:</w:t>
            </w:r>
            <w:r w:rsidR="00561A40">
              <w:rPr>
                <w:rFonts w:ascii="Times New Roman" w:hAnsi="Times New Roman"/>
                <w:color w:val="000000"/>
                <w:spacing w:val="-2"/>
              </w:rPr>
              <w:t xml:space="preserve">  </w:t>
            </w:r>
          </w:p>
          <w:p w14:paraId="5D77459D" w14:textId="13E906A6" w:rsidR="009C293C" w:rsidRDefault="00621D11" w:rsidP="006D724B">
            <w:pPr>
              <w:numPr>
                <w:ilvl w:val="0"/>
                <w:numId w:val="24"/>
              </w:numPr>
              <w:spacing w:line="240" w:lineRule="auto"/>
              <w:ind w:left="320" w:hanging="284"/>
              <w:jc w:val="both"/>
              <w:rPr>
                <w:rFonts w:ascii="Times New Roman" w:hAnsi="Times New Roman"/>
                <w:color w:val="000000"/>
              </w:rPr>
            </w:pPr>
            <w:r>
              <w:rPr>
                <w:rFonts w:ascii="Times New Roman" w:hAnsi="Times New Roman"/>
                <w:color w:val="000000"/>
                <w:spacing w:val="-2"/>
              </w:rPr>
              <w:t xml:space="preserve">usunięcie z algorytmu podziału subwencji składnika </w:t>
            </w:r>
            <w:r w:rsidRPr="00621D11">
              <w:rPr>
                <w:rFonts w:ascii="Times New Roman" w:hAnsi="Times New Roman"/>
                <w:color w:val="000000"/>
                <w:spacing w:val="-2"/>
              </w:rPr>
              <w:t>umiędzynarodowienia (</w:t>
            </w:r>
            <w:r w:rsidRPr="009C293C">
              <w:rPr>
                <w:rFonts w:ascii="Times New Roman" w:hAnsi="Times New Roman"/>
                <w:i/>
                <w:iCs/>
                <w:color w:val="000000"/>
                <w:spacing w:val="-2"/>
              </w:rPr>
              <w:t>U</w:t>
            </w:r>
            <w:r w:rsidRPr="00621D11">
              <w:rPr>
                <w:rFonts w:ascii="Times New Roman" w:hAnsi="Times New Roman"/>
                <w:color w:val="000000"/>
                <w:spacing w:val="-2"/>
              </w:rPr>
              <w:t>).</w:t>
            </w:r>
            <w:r>
              <w:rPr>
                <w:rFonts w:ascii="Times New Roman" w:hAnsi="Times New Roman"/>
                <w:color w:val="000000"/>
                <w:spacing w:val="-2"/>
              </w:rPr>
              <w:t xml:space="preserve"> </w:t>
            </w:r>
            <w:r w:rsidR="009C293C">
              <w:rPr>
                <w:rFonts w:ascii="Times New Roman" w:hAnsi="Times New Roman"/>
                <w:color w:val="000000"/>
                <w:spacing w:val="-2"/>
              </w:rPr>
              <w:t>An</w:t>
            </w:r>
            <w:r w:rsidR="009C293C" w:rsidRPr="00621D11">
              <w:rPr>
                <w:rFonts w:ascii="Times New Roman" w:hAnsi="Times New Roman"/>
                <w:color w:val="000000"/>
              </w:rPr>
              <w:t xml:space="preserve">aliza tego składnika wskazuje, że uczelnie medyczne praktycznie nie realizowały krótkoterminowej wymiany z uczelniami zagranicznymi (np. w ramach </w:t>
            </w:r>
            <w:r w:rsidR="003303E1">
              <w:rPr>
                <w:rFonts w:ascii="Times New Roman" w:hAnsi="Times New Roman"/>
                <w:color w:val="000000"/>
              </w:rPr>
              <w:t xml:space="preserve">Programu </w:t>
            </w:r>
            <w:r w:rsidR="009C293C" w:rsidRPr="00621D11">
              <w:rPr>
                <w:rFonts w:ascii="Times New Roman" w:hAnsi="Times New Roman"/>
                <w:color w:val="000000"/>
              </w:rPr>
              <w:t>ERASMUS). Od lat liczba osób w ramach tej wymiany była marginalna np. w 2024 do wszystkich uczelni medycznych przyjechało jedynie 411 studentów</w:t>
            </w:r>
            <w:r w:rsidR="006D724B">
              <w:rPr>
                <w:rFonts w:ascii="Times New Roman" w:hAnsi="Times New Roman"/>
                <w:color w:val="000000"/>
              </w:rPr>
              <w:t xml:space="preserve"> </w:t>
            </w:r>
            <w:r w:rsidR="009C293C" w:rsidRPr="00621D11">
              <w:rPr>
                <w:rFonts w:ascii="Times New Roman" w:hAnsi="Times New Roman"/>
                <w:color w:val="000000"/>
              </w:rPr>
              <w:t xml:space="preserve">cudzoziemców na taką wymianę (tj. 0,6% studentów w tych uczelniach). W przypadku studentów odbywających kształcenie w pełnym cyklu studiów, dane uwzględniane w przedmiotowym składniku </w:t>
            </w:r>
            <w:r w:rsidR="009C293C">
              <w:rPr>
                <w:rFonts w:ascii="Times New Roman" w:hAnsi="Times New Roman"/>
                <w:color w:val="000000"/>
              </w:rPr>
              <w:t>dotyczą głównie</w:t>
            </w:r>
            <w:r w:rsidR="009C293C" w:rsidRPr="00621D11">
              <w:rPr>
                <w:rFonts w:ascii="Times New Roman" w:hAnsi="Times New Roman"/>
                <w:color w:val="000000"/>
              </w:rPr>
              <w:t xml:space="preserve"> cudzoziemców podejmujących naukę na kierunku lekarskim w języku angielskim, tj. </w:t>
            </w:r>
            <w:r w:rsidR="003303E1" w:rsidRPr="00621D11">
              <w:rPr>
                <w:rFonts w:ascii="Times New Roman" w:hAnsi="Times New Roman"/>
                <w:color w:val="000000"/>
              </w:rPr>
              <w:t>kierunku,</w:t>
            </w:r>
            <w:r w:rsidR="009C293C" w:rsidRPr="00621D11">
              <w:rPr>
                <w:rFonts w:ascii="Times New Roman" w:hAnsi="Times New Roman"/>
                <w:color w:val="000000"/>
              </w:rPr>
              <w:t xml:space="preserve"> którego limit przyjęć określany jest corocznie w rozporządzeniu Ministra Zdrowia w sprawie limitu przyjęć na studia na kierunkach lekarskim i lekarsko-dentystycznym. Należy </w:t>
            </w:r>
            <w:r w:rsidR="003303E1" w:rsidRPr="00621D11">
              <w:rPr>
                <w:rFonts w:ascii="Times New Roman" w:hAnsi="Times New Roman"/>
                <w:color w:val="000000"/>
              </w:rPr>
              <w:t>podkreślić,</w:t>
            </w:r>
            <w:r w:rsidR="009C293C" w:rsidRPr="00621D11">
              <w:rPr>
                <w:rFonts w:ascii="Times New Roman" w:hAnsi="Times New Roman"/>
                <w:color w:val="000000"/>
              </w:rPr>
              <w:t xml:space="preserve"> </w:t>
            </w:r>
            <w:r w:rsidR="00D65A35">
              <w:rPr>
                <w:rFonts w:ascii="Times New Roman" w:hAnsi="Times New Roman"/>
                <w:color w:val="000000"/>
              </w:rPr>
              <w:t>że</w:t>
            </w:r>
            <w:r w:rsidR="009C293C" w:rsidRPr="00621D11">
              <w:rPr>
                <w:rFonts w:ascii="Times New Roman" w:hAnsi="Times New Roman"/>
                <w:color w:val="000000"/>
              </w:rPr>
              <w:t xml:space="preserve"> są to studenci, od których uczelnia pobiera opłaty za kształcenie, a pozyskane w ten sposób środki finansowe stanowią istotne źródło przychodów własnych uczelni. W tym stanie rzeczy brak jest podstaw premiowania tej kategorii studentów przez wpływ na wysokość subwencji, która co do zasady ma służyć finansowaniu kształcenia na studiach stacjonarnych oraz działalności naukowej. Takie rozwiązanie prowadzi także do nieuzasadnionego uprzywilejowania uczelni kształcących cudzoziemców na potrzeby rynków zagranicznych. </w:t>
            </w:r>
            <w:r w:rsidR="009C293C">
              <w:rPr>
                <w:rFonts w:ascii="Times New Roman" w:hAnsi="Times New Roman"/>
                <w:color w:val="000000"/>
              </w:rPr>
              <w:t>W</w:t>
            </w:r>
            <w:r w:rsidR="009C293C" w:rsidRPr="00621D11">
              <w:rPr>
                <w:rFonts w:ascii="Times New Roman" w:hAnsi="Times New Roman"/>
                <w:color w:val="000000"/>
              </w:rPr>
              <w:t xml:space="preserve">iększość studentów cudzoziemców kształconych na kierunku lekarskim w języku angielskim po ukończeniu studiów opuszcza </w:t>
            </w:r>
            <w:r w:rsidR="007E152C">
              <w:rPr>
                <w:rFonts w:ascii="Times New Roman" w:hAnsi="Times New Roman"/>
                <w:color w:val="000000"/>
              </w:rPr>
              <w:t>Rzeczpospolitą Polsk</w:t>
            </w:r>
            <w:r w:rsidR="00E8062C">
              <w:rPr>
                <w:rFonts w:ascii="Times New Roman" w:hAnsi="Times New Roman"/>
                <w:color w:val="000000"/>
              </w:rPr>
              <w:t>ą</w:t>
            </w:r>
            <w:r w:rsidR="009C293C" w:rsidRPr="00621D11">
              <w:rPr>
                <w:rFonts w:ascii="Times New Roman" w:hAnsi="Times New Roman"/>
                <w:color w:val="000000"/>
              </w:rPr>
              <w:t>. Tym samym nakłady czasu</w:t>
            </w:r>
            <w:r w:rsidR="003303E1">
              <w:rPr>
                <w:rFonts w:ascii="Times New Roman" w:hAnsi="Times New Roman"/>
                <w:color w:val="000000"/>
              </w:rPr>
              <w:t>, pracy</w:t>
            </w:r>
            <w:r w:rsidR="009C293C" w:rsidRPr="00621D11">
              <w:rPr>
                <w:rFonts w:ascii="Times New Roman" w:hAnsi="Times New Roman"/>
                <w:color w:val="000000"/>
              </w:rPr>
              <w:t xml:space="preserve"> i zajęci</w:t>
            </w:r>
            <w:r w:rsidR="00CA7A55">
              <w:rPr>
                <w:rFonts w:ascii="Times New Roman" w:hAnsi="Times New Roman"/>
                <w:color w:val="000000"/>
              </w:rPr>
              <w:t>e</w:t>
            </w:r>
            <w:r w:rsidR="009C293C" w:rsidRPr="00621D11">
              <w:rPr>
                <w:rFonts w:ascii="Times New Roman" w:hAnsi="Times New Roman"/>
                <w:color w:val="000000"/>
              </w:rPr>
              <w:t xml:space="preserve"> miejsc w placówkach klinicznych związane z kształceniem tych osób nie mają zwrotu w postaci zasilenia </w:t>
            </w:r>
            <w:r w:rsidR="00BD6042">
              <w:rPr>
                <w:rFonts w:ascii="Times New Roman" w:hAnsi="Times New Roman"/>
                <w:color w:val="000000"/>
              </w:rPr>
              <w:t>systemu</w:t>
            </w:r>
            <w:r w:rsidR="009C293C" w:rsidRPr="00621D11">
              <w:rPr>
                <w:rFonts w:ascii="Times New Roman" w:hAnsi="Times New Roman"/>
                <w:color w:val="000000"/>
              </w:rPr>
              <w:t xml:space="preserve"> ochrony zdrowia</w:t>
            </w:r>
            <w:r w:rsidR="00BD6042">
              <w:rPr>
                <w:rFonts w:ascii="Times New Roman" w:hAnsi="Times New Roman"/>
                <w:color w:val="000000"/>
              </w:rPr>
              <w:t xml:space="preserve"> Rzeczpospolitej Polskiej</w:t>
            </w:r>
            <w:r w:rsidR="00A76D3E">
              <w:rPr>
                <w:rFonts w:ascii="Times New Roman" w:hAnsi="Times New Roman"/>
                <w:color w:val="000000"/>
              </w:rPr>
              <w:t>;</w:t>
            </w:r>
          </w:p>
          <w:p w14:paraId="5FFB50DE" w14:textId="73669D8E" w:rsidR="00F24F68" w:rsidRPr="00237918" w:rsidRDefault="009C293C" w:rsidP="006D724B">
            <w:pPr>
              <w:numPr>
                <w:ilvl w:val="0"/>
                <w:numId w:val="24"/>
              </w:numPr>
              <w:spacing w:line="240" w:lineRule="auto"/>
              <w:ind w:left="320" w:hanging="284"/>
              <w:jc w:val="both"/>
              <w:rPr>
                <w:rFonts w:ascii="Times New Roman" w:hAnsi="Times New Roman"/>
                <w:color w:val="000000"/>
                <w:spacing w:val="-2"/>
              </w:rPr>
            </w:pPr>
            <w:r>
              <w:rPr>
                <w:rFonts w:ascii="Times New Roman" w:hAnsi="Times New Roman"/>
                <w:color w:val="000000"/>
                <w:spacing w:val="-2"/>
              </w:rPr>
              <w:t>usunięcie z algorytmu podziału subwencji składnika</w:t>
            </w:r>
            <w:r>
              <w:t xml:space="preserve"> </w:t>
            </w:r>
            <w:r w:rsidRPr="009C293C">
              <w:rPr>
                <w:rFonts w:ascii="Times New Roman" w:hAnsi="Times New Roman"/>
                <w:color w:val="000000"/>
                <w:spacing w:val="-2"/>
              </w:rPr>
              <w:t>badawczo-rozwojowego (</w:t>
            </w:r>
            <w:r w:rsidRPr="009C293C">
              <w:rPr>
                <w:rFonts w:ascii="Times New Roman" w:hAnsi="Times New Roman"/>
                <w:i/>
                <w:iCs/>
                <w:color w:val="000000"/>
                <w:spacing w:val="-2"/>
              </w:rPr>
              <w:t>N</w:t>
            </w:r>
            <w:r w:rsidRPr="009C293C">
              <w:rPr>
                <w:rFonts w:ascii="Times New Roman" w:hAnsi="Times New Roman"/>
                <w:color w:val="000000"/>
                <w:spacing w:val="-2"/>
              </w:rPr>
              <w:t>)</w:t>
            </w:r>
            <w:r>
              <w:rPr>
                <w:rFonts w:ascii="Times New Roman" w:hAnsi="Times New Roman"/>
                <w:color w:val="000000"/>
                <w:spacing w:val="-2"/>
              </w:rPr>
              <w:t>.</w:t>
            </w:r>
            <w:r w:rsidRPr="009C293C">
              <w:rPr>
                <w:rFonts w:ascii="Times New Roman" w:hAnsi="Times New Roman"/>
                <w:color w:val="000000"/>
                <w:spacing w:val="-2"/>
              </w:rPr>
              <w:t xml:space="preserve"> </w:t>
            </w:r>
            <w:r w:rsidR="00A23C8B" w:rsidRPr="00A23C8B">
              <w:rPr>
                <w:rFonts w:ascii="Times New Roman" w:hAnsi="Times New Roman"/>
                <w:color w:val="000000"/>
                <w:spacing w:val="-2"/>
              </w:rPr>
              <w:t>Jedynym parametrem uwzględnianym w omawianym</w:t>
            </w:r>
            <w:r w:rsidR="00A23C8B">
              <w:rPr>
                <w:rFonts w:ascii="Times New Roman" w:hAnsi="Times New Roman"/>
                <w:color w:val="000000"/>
                <w:spacing w:val="-2"/>
              </w:rPr>
              <w:t xml:space="preserve"> </w:t>
            </w:r>
            <w:r w:rsidRPr="009C293C">
              <w:rPr>
                <w:rFonts w:ascii="Times New Roman" w:hAnsi="Times New Roman"/>
                <w:color w:val="000000"/>
                <w:spacing w:val="-2"/>
              </w:rPr>
              <w:t xml:space="preserve">składniku jest wysokość nakładów wewnętrznych poniesionych przez uczelnię na działalność badawczo-rozwojową wykazanych w PNT-01/s </w:t>
            </w:r>
            <w:r w:rsidR="00A23C8B">
              <w:rPr>
                <w:rFonts w:ascii="Times New Roman" w:hAnsi="Times New Roman"/>
                <w:color w:val="000000"/>
                <w:spacing w:val="-2"/>
              </w:rPr>
              <w:t xml:space="preserve">– </w:t>
            </w:r>
            <w:r w:rsidRPr="00CA7A55">
              <w:rPr>
                <w:rFonts w:ascii="Times New Roman" w:hAnsi="Times New Roman"/>
                <w:i/>
                <w:iCs/>
                <w:color w:val="000000"/>
                <w:spacing w:val="-2"/>
              </w:rPr>
              <w:t>Sprawozdaniu o działalności badawczej i rozwojowej (B + R)</w:t>
            </w:r>
            <w:r w:rsidRPr="009C293C">
              <w:rPr>
                <w:rFonts w:ascii="Times New Roman" w:hAnsi="Times New Roman"/>
                <w:color w:val="000000"/>
                <w:spacing w:val="-2"/>
              </w:rPr>
              <w:t xml:space="preserve"> w szkołach wyższych składanym w roku poprzedzającym rok przyznania subwencji. Dane o nakładach na działalność badawczo-rozwojową w tym formularzu są </w:t>
            </w:r>
            <w:r w:rsidR="00A23C8B" w:rsidRPr="009C293C">
              <w:rPr>
                <w:rFonts w:ascii="Times New Roman" w:hAnsi="Times New Roman"/>
                <w:color w:val="000000"/>
                <w:spacing w:val="-2"/>
              </w:rPr>
              <w:t xml:space="preserve">w głównej mierze </w:t>
            </w:r>
            <w:r w:rsidRPr="009C293C">
              <w:rPr>
                <w:rFonts w:ascii="Times New Roman" w:hAnsi="Times New Roman"/>
                <w:color w:val="000000"/>
                <w:spacing w:val="-2"/>
              </w:rPr>
              <w:t xml:space="preserve">zależne od liczby nauczycieli akademickich zatrudnionych w uczelni </w:t>
            </w:r>
            <w:r w:rsidRPr="009C293C">
              <w:rPr>
                <w:rFonts w:ascii="Times New Roman" w:hAnsi="Times New Roman"/>
                <w:color w:val="000000"/>
                <w:spacing w:val="-2"/>
              </w:rPr>
              <w:lastRenderedPageBreak/>
              <w:t xml:space="preserve">na stanowiskach badawczych i badawczo-dydaktycznych, </w:t>
            </w:r>
            <w:r w:rsidR="00A23C8B">
              <w:rPr>
                <w:rFonts w:ascii="Times New Roman" w:hAnsi="Times New Roman"/>
                <w:color w:val="000000"/>
                <w:spacing w:val="-2"/>
              </w:rPr>
              <w:t>albowiem</w:t>
            </w:r>
            <w:r w:rsidR="00A23C8B" w:rsidRPr="009C293C">
              <w:rPr>
                <w:rFonts w:ascii="Times New Roman" w:hAnsi="Times New Roman"/>
                <w:color w:val="000000"/>
                <w:spacing w:val="-2"/>
              </w:rPr>
              <w:t xml:space="preserve"> </w:t>
            </w:r>
            <w:r w:rsidR="00A23C8B">
              <w:rPr>
                <w:rFonts w:ascii="Times New Roman" w:hAnsi="Times New Roman"/>
                <w:color w:val="000000"/>
                <w:spacing w:val="-2"/>
              </w:rPr>
              <w:t xml:space="preserve">– </w:t>
            </w:r>
            <w:r w:rsidRPr="009C293C">
              <w:rPr>
                <w:rFonts w:ascii="Times New Roman" w:hAnsi="Times New Roman"/>
                <w:color w:val="000000"/>
                <w:spacing w:val="-2"/>
              </w:rPr>
              <w:t xml:space="preserve">zgodnie z metodyką EUROSTAT </w:t>
            </w:r>
            <w:r w:rsidR="00A23C8B">
              <w:rPr>
                <w:rFonts w:ascii="Times New Roman" w:hAnsi="Times New Roman"/>
                <w:color w:val="000000"/>
                <w:spacing w:val="-2"/>
              </w:rPr>
              <w:t xml:space="preserve">– </w:t>
            </w:r>
            <w:r w:rsidRPr="009C293C">
              <w:rPr>
                <w:rFonts w:ascii="Times New Roman" w:hAnsi="Times New Roman"/>
                <w:color w:val="000000"/>
                <w:spacing w:val="-2"/>
              </w:rPr>
              <w:t xml:space="preserve">do tych nakładów zaliczane są wynagrodzenia tych grup pracowników. </w:t>
            </w:r>
            <w:r w:rsidR="00A23C8B" w:rsidRPr="00A23C8B">
              <w:rPr>
                <w:rFonts w:ascii="Times New Roman" w:hAnsi="Times New Roman"/>
                <w:color w:val="000000"/>
                <w:spacing w:val="-2"/>
              </w:rPr>
              <w:t>Wynagrodzenia te stanowią podstawowy składnik wskazanych nakładów, co w konsekwencji powoduje, że uczelnie medyczne mają bardzo małą możliwość podjęcia dodatkowych działań wpływających na wartości tego parametru.</w:t>
            </w:r>
            <w:r w:rsidRPr="009C293C">
              <w:rPr>
                <w:rFonts w:ascii="Times New Roman" w:hAnsi="Times New Roman"/>
                <w:color w:val="000000"/>
                <w:spacing w:val="-2"/>
              </w:rPr>
              <w:t xml:space="preserve"> Przedmiotowy sposób ukształtowania mechanizmu powoduje, </w:t>
            </w:r>
            <w:r w:rsidR="00A76D3E">
              <w:rPr>
                <w:rFonts w:ascii="Times New Roman" w:hAnsi="Times New Roman"/>
                <w:color w:val="000000"/>
                <w:spacing w:val="-2"/>
              </w:rPr>
              <w:t>że</w:t>
            </w:r>
            <w:r w:rsidRPr="009C293C">
              <w:rPr>
                <w:rFonts w:ascii="Times New Roman" w:hAnsi="Times New Roman"/>
                <w:color w:val="000000"/>
                <w:spacing w:val="-2"/>
              </w:rPr>
              <w:t xml:space="preserve"> składnik ten nie pełni roli instrumentu stymulacyjnego ani nie wywołuje efektu motywacyjnego oraz nie oddziałuje w sposób faktyczny na kształtowanie pożądanych zachowań uczelni medycznych. Ponadto w algorytmie podziału subwencji uwzględniany jest także składnik projektowy</w:t>
            </w:r>
            <w:r w:rsidR="00EF765E">
              <w:rPr>
                <w:rFonts w:ascii="Times New Roman" w:hAnsi="Times New Roman"/>
                <w:color w:val="000000"/>
                <w:spacing w:val="-2"/>
              </w:rPr>
              <w:t>.</w:t>
            </w:r>
            <w:r w:rsidR="00EF765E" w:rsidRPr="009C293C">
              <w:rPr>
                <w:rFonts w:ascii="Times New Roman" w:hAnsi="Times New Roman"/>
                <w:color w:val="000000"/>
                <w:spacing w:val="-2"/>
              </w:rPr>
              <w:t xml:space="preserve"> </w:t>
            </w:r>
            <w:r w:rsidR="00EF765E" w:rsidRPr="00EF765E">
              <w:rPr>
                <w:rFonts w:ascii="Times New Roman" w:hAnsi="Times New Roman"/>
                <w:color w:val="000000"/>
                <w:spacing w:val="-2"/>
              </w:rPr>
              <w:t>Pełni on funkcję projakościową, stymulując wzrost aktywności uczelni w zakresie pozyskiwania środków na realizację projektów badawczych.</w:t>
            </w:r>
            <w:r w:rsidRPr="009C293C">
              <w:rPr>
                <w:rFonts w:ascii="Times New Roman" w:hAnsi="Times New Roman"/>
                <w:color w:val="000000"/>
                <w:spacing w:val="-2"/>
              </w:rPr>
              <w:t xml:space="preserve"> </w:t>
            </w:r>
            <w:r w:rsidR="00EF765E" w:rsidRPr="00EF765E">
              <w:rPr>
                <w:rFonts w:ascii="Times New Roman" w:hAnsi="Times New Roman"/>
                <w:color w:val="000000"/>
                <w:spacing w:val="-2"/>
              </w:rPr>
              <w:t>Tym samym, po usunięciu składnika badawczo-rozwojowego, w algorytmie pozostanie ten, który realnie premiuje aktywność badawczą uczelni</w:t>
            </w:r>
            <w:r w:rsidR="000F7762">
              <w:rPr>
                <w:rFonts w:ascii="Times New Roman" w:hAnsi="Times New Roman"/>
                <w:color w:val="000000"/>
                <w:spacing w:val="-2"/>
              </w:rPr>
              <w:t>;</w:t>
            </w:r>
          </w:p>
          <w:p w14:paraId="74C2F4D2" w14:textId="35D6A84D" w:rsidR="009C293C" w:rsidRPr="009C293C" w:rsidRDefault="00140D98" w:rsidP="006D724B">
            <w:pPr>
              <w:numPr>
                <w:ilvl w:val="0"/>
                <w:numId w:val="24"/>
              </w:numPr>
              <w:spacing w:line="240" w:lineRule="auto"/>
              <w:ind w:left="320" w:hanging="284"/>
              <w:jc w:val="both"/>
              <w:rPr>
                <w:rFonts w:ascii="Times New Roman" w:hAnsi="Times New Roman"/>
                <w:color w:val="000000"/>
                <w:spacing w:val="-2"/>
              </w:rPr>
            </w:pPr>
            <w:r>
              <w:rPr>
                <w:rFonts w:ascii="Times New Roman" w:hAnsi="Times New Roman"/>
                <w:color w:val="000000"/>
                <w:spacing w:val="-2"/>
              </w:rPr>
              <w:t>d</w:t>
            </w:r>
            <w:r w:rsidR="009C293C">
              <w:rPr>
                <w:rFonts w:ascii="Times New Roman" w:hAnsi="Times New Roman"/>
                <w:color w:val="000000"/>
                <w:spacing w:val="-2"/>
              </w:rPr>
              <w:t>odanie nowego składnika algorytmu podziału subwencji – składnika klinicznego (</w:t>
            </w:r>
            <w:r w:rsidR="009C293C" w:rsidRPr="009C293C">
              <w:rPr>
                <w:rFonts w:ascii="Times New Roman" w:hAnsi="Times New Roman"/>
                <w:i/>
                <w:iCs/>
                <w:color w:val="000000"/>
                <w:spacing w:val="-2"/>
              </w:rPr>
              <w:t>Kl</w:t>
            </w:r>
            <w:r w:rsidR="009C293C">
              <w:rPr>
                <w:rFonts w:ascii="Times New Roman" w:hAnsi="Times New Roman"/>
                <w:color w:val="000000"/>
                <w:spacing w:val="-2"/>
              </w:rPr>
              <w:t>)</w:t>
            </w:r>
            <w:r w:rsidR="00A37BB7" w:rsidRPr="00A37BB7">
              <w:rPr>
                <w:rFonts w:ascii="Times New Roman" w:hAnsi="Times New Roman"/>
                <w:color w:val="000000"/>
                <w:spacing w:val="-2"/>
              </w:rPr>
              <w:t xml:space="preserve">. </w:t>
            </w:r>
            <w:r w:rsidR="009C293C">
              <w:rPr>
                <w:rFonts w:ascii="Times New Roman" w:hAnsi="Times New Roman"/>
                <w:color w:val="000000"/>
                <w:spacing w:val="-2"/>
              </w:rPr>
              <w:t>S</w:t>
            </w:r>
            <w:r w:rsidR="009C293C" w:rsidRPr="009C293C">
              <w:rPr>
                <w:rFonts w:ascii="Times New Roman" w:hAnsi="Times New Roman"/>
                <w:color w:val="000000"/>
                <w:spacing w:val="-2"/>
              </w:rPr>
              <w:t>kładnik</w:t>
            </w:r>
            <w:r w:rsidR="009C293C">
              <w:rPr>
                <w:rFonts w:ascii="Times New Roman" w:hAnsi="Times New Roman"/>
                <w:color w:val="000000"/>
                <w:spacing w:val="-2"/>
              </w:rPr>
              <w:t xml:space="preserve"> ten</w:t>
            </w:r>
            <w:r w:rsidR="009C293C" w:rsidRPr="009C293C">
              <w:rPr>
                <w:rFonts w:ascii="Times New Roman" w:hAnsi="Times New Roman"/>
                <w:color w:val="000000"/>
                <w:spacing w:val="-2"/>
              </w:rPr>
              <w:t xml:space="preserve"> będzie </w:t>
            </w:r>
            <w:r w:rsidR="00EF765E" w:rsidRPr="009C293C">
              <w:rPr>
                <w:rFonts w:ascii="Times New Roman" w:hAnsi="Times New Roman"/>
                <w:color w:val="000000"/>
                <w:spacing w:val="-2"/>
              </w:rPr>
              <w:t>opiera</w:t>
            </w:r>
            <w:r w:rsidR="00EF765E">
              <w:rPr>
                <w:rFonts w:ascii="Times New Roman" w:hAnsi="Times New Roman"/>
                <w:color w:val="000000"/>
                <w:spacing w:val="-2"/>
              </w:rPr>
              <w:t>ć</w:t>
            </w:r>
            <w:r w:rsidR="00EF765E" w:rsidRPr="009C293C">
              <w:rPr>
                <w:rFonts w:ascii="Times New Roman" w:hAnsi="Times New Roman"/>
                <w:color w:val="000000"/>
                <w:spacing w:val="-2"/>
              </w:rPr>
              <w:t xml:space="preserve"> </w:t>
            </w:r>
            <w:r w:rsidR="009C293C" w:rsidRPr="009C293C">
              <w:rPr>
                <w:rFonts w:ascii="Times New Roman" w:hAnsi="Times New Roman"/>
                <w:color w:val="000000"/>
                <w:spacing w:val="-2"/>
              </w:rPr>
              <w:t>się na liczbie studentów kierunk</w:t>
            </w:r>
            <w:r w:rsidR="00EF765E">
              <w:rPr>
                <w:rFonts w:ascii="Times New Roman" w:hAnsi="Times New Roman"/>
                <w:color w:val="000000"/>
                <w:spacing w:val="-2"/>
              </w:rPr>
              <w:t>ów</w:t>
            </w:r>
            <w:r w:rsidR="009C293C" w:rsidRPr="009C293C">
              <w:rPr>
                <w:rFonts w:ascii="Times New Roman" w:hAnsi="Times New Roman"/>
                <w:color w:val="000000"/>
                <w:spacing w:val="-2"/>
              </w:rPr>
              <w:t xml:space="preserve">, na których prowadzone jest kształcenie w </w:t>
            </w:r>
            <w:r w:rsidR="005C55B0">
              <w:rPr>
                <w:rFonts w:ascii="Times New Roman" w:hAnsi="Times New Roman"/>
                <w:color w:val="000000"/>
                <w:spacing w:val="-2"/>
              </w:rPr>
              <w:t>podmiotach</w:t>
            </w:r>
            <w:r w:rsidR="005C55B0" w:rsidRPr="009C293C">
              <w:rPr>
                <w:rFonts w:ascii="Times New Roman" w:hAnsi="Times New Roman"/>
                <w:color w:val="000000"/>
                <w:spacing w:val="-2"/>
              </w:rPr>
              <w:t xml:space="preserve"> </w:t>
            </w:r>
            <w:r w:rsidR="009C293C" w:rsidRPr="009C293C">
              <w:rPr>
                <w:rFonts w:ascii="Times New Roman" w:hAnsi="Times New Roman"/>
                <w:color w:val="000000"/>
                <w:spacing w:val="-2"/>
              </w:rPr>
              <w:t xml:space="preserve">leczniczych. Na potrzeby określenia parametrów tego składnika Ministerstwo Zdrowia zebrało od uczelni medycznych dane dotyczące relacji kosztochłonności kształcenia w </w:t>
            </w:r>
            <w:r w:rsidR="005C55B0">
              <w:rPr>
                <w:rFonts w:ascii="Times New Roman" w:hAnsi="Times New Roman"/>
                <w:color w:val="000000"/>
                <w:spacing w:val="-2"/>
              </w:rPr>
              <w:t>podmiotach</w:t>
            </w:r>
            <w:r w:rsidR="009C293C" w:rsidRPr="009C293C">
              <w:rPr>
                <w:rFonts w:ascii="Times New Roman" w:hAnsi="Times New Roman"/>
                <w:color w:val="000000"/>
                <w:spacing w:val="-2"/>
              </w:rPr>
              <w:t xml:space="preserve"> leczniczych na poszczególnych kierunkach medycznych. Przyjęto </w:t>
            </w:r>
            <w:r w:rsidR="00F067F6" w:rsidRPr="009C293C">
              <w:rPr>
                <w:rFonts w:ascii="Times New Roman" w:hAnsi="Times New Roman"/>
                <w:color w:val="000000"/>
                <w:spacing w:val="-2"/>
              </w:rPr>
              <w:t>założenie,</w:t>
            </w:r>
            <w:r w:rsidR="009C293C" w:rsidRPr="009C293C">
              <w:rPr>
                <w:rFonts w:ascii="Times New Roman" w:hAnsi="Times New Roman"/>
                <w:color w:val="000000"/>
                <w:spacing w:val="-2"/>
              </w:rPr>
              <w:t xml:space="preserve"> że koszt kształcenia na kierunku lekarskim ma poziom równy 1,0 i do niego uczelnie miały odnieść relacje kosztochłonności kształcenia na pozostałych kierunkach. Na podstawie danych przekazanych przez uczelnie medyczne </w:t>
            </w:r>
            <w:r w:rsidR="00F067F6">
              <w:rPr>
                <w:rFonts w:ascii="Times New Roman" w:hAnsi="Times New Roman"/>
                <w:color w:val="000000"/>
                <w:spacing w:val="-2"/>
              </w:rPr>
              <w:t>wyodrębniono</w:t>
            </w:r>
            <w:r w:rsidR="009C293C" w:rsidRPr="009C293C">
              <w:rPr>
                <w:rFonts w:ascii="Times New Roman" w:hAnsi="Times New Roman"/>
                <w:color w:val="000000"/>
                <w:spacing w:val="-2"/>
              </w:rPr>
              <w:t xml:space="preserve"> </w:t>
            </w:r>
            <w:r w:rsidR="00F067F6">
              <w:rPr>
                <w:rFonts w:ascii="Times New Roman" w:hAnsi="Times New Roman"/>
                <w:color w:val="000000"/>
                <w:spacing w:val="-2"/>
              </w:rPr>
              <w:t>sześć</w:t>
            </w:r>
            <w:r w:rsidR="009C293C" w:rsidRPr="009C293C">
              <w:rPr>
                <w:rFonts w:ascii="Times New Roman" w:hAnsi="Times New Roman"/>
                <w:color w:val="000000"/>
                <w:spacing w:val="-2"/>
              </w:rPr>
              <w:t xml:space="preserve"> kierunków studiów, </w:t>
            </w:r>
            <w:r w:rsidR="00F067F6">
              <w:rPr>
                <w:rFonts w:ascii="Times New Roman" w:hAnsi="Times New Roman"/>
                <w:color w:val="000000"/>
                <w:spacing w:val="-2"/>
              </w:rPr>
              <w:t>w przypadku</w:t>
            </w:r>
            <w:r w:rsidR="00F067F6" w:rsidRPr="009C293C">
              <w:rPr>
                <w:rFonts w:ascii="Times New Roman" w:hAnsi="Times New Roman"/>
                <w:color w:val="000000"/>
                <w:spacing w:val="-2"/>
              </w:rPr>
              <w:t xml:space="preserve"> </w:t>
            </w:r>
            <w:r w:rsidR="009C293C" w:rsidRPr="009C293C">
              <w:rPr>
                <w:rFonts w:ascii="Times New Roman" w:hAnsi="Times New Roman"/>
                <w:color w:val="000000"/>
                <w:spacing w:val="-2"/>
              </w:rPr>
              <w:t xml:space="preserve">których koszty kształcenia studentów kierowanych do </w:t>
            </w:r>
            <w:r w:rsidR="005C55B0">
              <w:rPr>
                <w:rFonts w:ascii="Times New Roman" w:hAnsi="Times New Roman"/>
                <w:color w:val="000000"/>
                <w:spacing w:val="-2"/>
              </w:rPr>
              <w:t>podmiotów</w:t>
            </w:r>
            <w:r w:rsidR="005C55B0" w:rsidRPr="009C293C">
              <w:rPr>
                <w:rFonts w:ascii="Times New Roman" w:hAnsi="Times New Roman"/>
                <w:color w:val="000000"/>
                <w:spacing w:val="-2"/>
              </w:rPr>
              <w:t xml:space="preserve"> </w:t>
            </w:r>
            <w:r w:rsidR="009C293C" w:rsidRPr="009C293C">
              <w:rPr>
                <w:rFonts w:ascii="Times New Roman" w:hAnsi="Times New Roman"/>
                <w:color w:val="000000"/>
                <w:spacing w:val="-2"/>
              </w:rPr>
              <w:t>leczniczych</w:t>
            </w:r>
            <w:r w:rsidR="00F067F6">
              <w:rPr>
                <w:rFonts w:ascii="Times New Roman" w:hAnsi="Times New Roman"/>
                <w:color w:val="000000"/>
                <w:spacing w:val="-2"/>
              </w:rPr>
              <w:t xml:space="preserve"> są istotne</w:t>
            </w:r>
            <w:r w:rsidR="009C293C" w:rsidRPr="009C293C">
              <w:rPr>
                <w:rFonts w:ascii="Times New Roman" w:hAnsi="Times New Roman"/>
                <w:color w:val="000000"/>
                <w:spacing w:val="-2"/>
              </w:rPr>
              <w:t>, tj.:</w:t>
            </w:r>
          </w:p>
          <w:p w14:paraId="76371CDD" w14:textId="3AF1A5A5" w:rsidR="009C293C" w:rsidRPr="009C293C" w:rsidRDefault="00E740E0" w:rsidP="00C54927">
            <w:pPr>
              <w:pStyle w:val="Akapitzlist"/>
              <w:spacing w:line="240" w:lineRule="auto"/>
              <w:ind w:left="769"/>
              <w:jc w:val="both"/>
              <w:rPr>
                <w:rFonts w:ascii="Times New Roman" w:hAnsi="Times New Roman"/>
                <w:color w:val="000000"/>
                <w:spacing w:val="-2"/>
              </w:rPr>
            </w:pPr>
            <w:r>
              <w:rPr>
                <w:rFonts w:ascii="Times New Roman" w:hAnsi="Times New Roman"/>
                <w:color w:val="000000"/>
                <w:spacing w:val="-2"/>
              </w:rPr>
              <w:t xml:space="preserve">a) </w:t>
            </w:r>
            <w:r w:rsidR="009C293C" w:rsidRPr="009C293C">
              <w:rPr>
                <w:rFonts w:ascii="Times New Roman" w:hAnsi="Times New Roman"/>
                <w:color w:val="000000"/>
                <w:spacing w:val="-2"/>
              </w:rPr>
              <w:t>kierunek lekarski – waga 1,0</w:t>
            </w:r>
            <w:r w:rsidR="00AA1C7B">
              <w:rPr>
                <w:rFonts w:ascii="Times New Roman" w:hAnsi="Times New Roman"/>
                <w:color w:val="000000"/>
                <w:spacing w:val="-2"/>
              </w:rPr>
              <w:t>,</w:t>
            </w:r>
          </w:p>
          <w:p w14:paraId="3B5B3ECD" w14:textId="5C4240B8" w:rsidR="009C293C" w:rsidRPr="009C293C" w:rsidRDefault="00E740E0" w:rsidP="00C54927">
            <w:pPr>
              <w:pStyle w:val="Akapitzlist"/>
              <w:spacing w:line="240" w:lineRule="auto"/>
              <w:ind w:left="769"/>
              <w:jc w:val="both"/>
              <w:rPr>
                <w:rFonts w:ascii="Times New Roman" w:hAnsi="Times New Roman"/>
                <w:color w:val="000000"/>
                <w:spacing w:val="-2"/>
              </w:rPr>
            </w:pPr>
            <w:r>
              <w:rPr>
                <w:rFonts w:ascii="Times New Roman" w:hAnsi="Times New Roman"/>
                <w:color w:val="000000"/>
                <w:spacing w:val="-2"/>
              </w:rPr>
              <w:t xml:space="preserve">b) </w:t>
            </w:r>
            <w:r w:rsidR="009C293C" w:rsidRPr="009C293C">
              <w:rPr>
                <w:rFonts w:ascii="Times New Roman" w:hAnsi="Times New Roman"/>
                <w:color w:val="000000"/>
                <w:spacing w:val="-2"/>
              </w:rPr>
              <w:t xml:space="preserve">kierunek lekarsko-dentystyczny </w:t>
            </w:r>
            <w:r w:rsidR="00386AF3" w:rsidRPr="00386AF3">
              <w:rPr>
                <w:rFonts w:ascii="Times New Roman" w:hAnsi="Times New Roman"/>
                <w:color w:val="000000"/>
                <w:spacing w:val="-2"/>
              </w:rPr>
              <w:t>–</w:t>
            </w:r>
            <w:r w:rsidR="00386AF3">
              <w:rPr>
                <w:rFonts w:ascii="Times New Roman" w:hAnsi="Times New Roman"/>
                <w:color w:val="000000"/>
                <w:spacing w:val="-2"/>
              </w:rPr>
              <w:t xml:space="preserve"> </w:t>
            </w:r>
            <w:r w:rsidR="009C293C" w:rsidRPr="009C293C">
              <w:rPr>
                <w:rFonts w:ascii="Times New Roman" w:hAnsi="Times New Roman"/>
                <w:color w:val="000000"/>
                <w:spacing w:val="-2"/>
              </w:rPr>
              <w:t>waga 1,9</w:t>
            </w:r>
            <w:r w:rsidR="00AA1C7B">
              <w:rPr>
                <w:rFonts w:ascii="Times New Roman" w:hAnsi="Times New Roman"/>
                <w:color w:val="000000"/>
                <w:spacing w:val="-2"/>
              </w:rPr>
              <w:t>,</w:t>
            </w:r>
          </w:p>
          <w:p w14:paraId="36850355" w14:textId="3D65792F" w:rsidR="009C293C" w:rsidRPr="009C293C" w:rsidRDefault="00E740E0" w:rsidP="00C54927">
            <w:pPr>
              <w:pStyle w:val="Akapitzlist"/>
              <w:spacing w:line="240" w:lineRule="auto"/>
              <w:ind w:left="769"/>
              <w:jc w:val="both"/>
              <w:rPr>
                <w:rFonts w:ascii="Times New Roman" w:hAnsi="Times New Roman"/>
                <w:color w:val="000000"/>
                <w:spacing w:val="-2"/>
              </w:rPr>
            </w:pPr>
            <w:r>
              <w:rPr>
                <w:rFonts w:ascii="Times New Roman" w:hAnsi="Times New Roman"/>
                <w:color w:val="000000"/>
                <w:spacing w:val="-2"/>
              </w:rPr>
              <w:t xml:space="preserve">c) </w:t>
            </w:r>
            <w:r w:rsidR="009C293C" w:rsidRPr="009C293C">
              <w:rPr>
                <w:rFonts w:ascii="Times New Roman" w:hAnsi="Times New Roman"/>
                <w:color w:val="000000"/>
                <w:spacing w:val="-2"/>
              </w:rPr>
              <w:t xml:space="preserve">pielęgniarstwo </w:t>
            </w:r>
            <w:r w:rsidR="00636EBE">
              <w:rPr>
                <w:rFonts w:ascii="Times New Roman" w:hAnsi="Times New Roman"/>
                <w:color w:val="000000"/>
                <w:spacing w:val="-2"/>
              </w:rPr>
              <w:t>–</w:t>
            </w:r>
            <w:r w:rsidR="00636EBE" w:rsidRPr="009C293C">
              <w:rPr>
                <w:rFonts w:ascii="Times New Roman" w:hAnsi="Times New Roman"/>
                <w:color w:val="000000"/>
                <w:spacing w:val="-2"/>
              </w:rPr>
              <w:t xml:space="preserve"> </w:t>
            </w:r>
            <w:r w:rsidR="009C293C" w:rsidRPr="009C293C">
              <w:rPr>
                <w:rFonts w:ascii="Times New Roman" w:hAnsi="Times New Roman"/>
                <w:color w:val="000000"/>
                <w:spacing w:val="-2"/>
              </w:rPr>
              <w:t>I stopień – waga 0,7</w:t>
            </w:r>
            <w:r w:rsidR="00AA1C7B">
              <w:rPr>
                <w:rFonts w:ascii="Times New Roman" w:hAnsi="Times New Roman"/>
                <w:color w:val="000000"/>
                <w:spacing w:val="-2"/>
              </w:rPr>
              <w:t>,</w:t>
            </w:r>
          </w:p>
          <w:p w14:paraId="27DDAAF3" w14:textId="7ADEF429" w:rsidR="009C293C" w:rsidRPr="009C293C" w:rsidRDefault="00E740E0" w:rsidP="00C54927">
            <w:pPr>
              <w:pStyle w:val="Akapitzlist"/>
              <w:spacing w:line="240" w:lineRule="auto"/>
              <w:ind w:left="769"/>
              <w:jc w:val="both"/>
              <w:rPr>
                <w:rFonts w:ascii="Times New Roman" w:hAnsi="Times New Roman"/>
                <w:color w:val="000000"/>
                <w:spacing w:val="-2"/>
              </w:rPr>
            </w:pPr>
            <w:r>
              <w:rPr>
                <w:rFonts w:ascii="Times New Roman" w:hAnsi="Times New Roman"/>
                <w:color w:val="000000"/>
                <w:spacing w:val="-2"/>
              </w:rPr>
              <w:t xml:space="preserve">d) </w:t>
            </w:r>
            <w:r w:rsidR="009C293C" w:rsidRPr="009C293C">
              <w:rPr>
                <w:rFonts w:ascii="Times New Roman" w:hAnsi="Times New Roman"/>
                <w:color w:val="000000"/>
                <w:spacing w:val="-2"/>
              </w:rPr>
              <w:t xml:space="preserve">położnictwo </w:t>
            </w:r>
            <w:r w:rsidR="00636EBE">
              <w:rPr>
                <w:rFonts w:ascii="Times New Roman" w:hAnsi="Times New Roman"/>
                <w:color w:val="000000"/>
                <w:spacing w:val="-2"/>
              </w:rPr>
              <w:t>–</w:t>
            </w:r>
            <w:r w:rsidR="00636EBE" w:rsidRPr="009C293C">
              <w:rPr>
                <w:rFonts w:ascii="Times New Roman" w:hAnsi="Times New Roman"/>
                <w:color w:val="000000"/>
                <w:spacing w:val="-2"/>
              </w:rPr>
              <w:t xml:space="preserve"> </w:t>
            </w:r>
            <w:r w:rsidR="009C293C" w:rsidRPr="009C293C">
              <w:rPr>
                <w:rFonts w:ascii="Times New Roman" w:hAnsi="Times New Roman"/>
                <w:color w:val="000000"/>
                <w:spacing w:val="-2"/>
              </w:rPr>
              <w:t>I stopień – waga 0,7</w:t>
            </w:r>
            <w:r w:rsidR="00AA1C7B">
              <w:rPr>
                <w:rFonts w:ascii="Times New Roman" w:hAnsi="Times New Roman"/>
                <w:color w:val="000000"/>
                <w:spacing w:val="-2"/>
              </w:rPr>
              <w:t>,</w:t>
            </w:r>
          </w:p>
          <w:p w14:paraId="7DF3E24C" w14:textId="20B4728F" w:rsidR="009C293C" w:rsidRPr="009C293C" w:rsidRDefault="00E740E0" w:rsidP="00C54927">
            <w:pPr>
              <w:pStyle w:val="Akapitzlist"/>
              <w:spacing w:line="240" w:lineRule="auto"/>
              <w:ind w:left="769"/>
              <w:jc w:val="both"/>
              <w:rPr>
                <w:rFonts w:ascii="Times New Roman" w:hAnsi="Times New Roman"/>
                <w:color w:val="000000"/>
                <w:spacing w:val="-2"/>
              </w:rPr>
            </w:pPr>
            <w:r>
              <w:rPr>
                <w:rFonts w:ascii="Times New Roman" w:hAnsi="Times New Roman"/>
                <w:color w:val="000000"/>
                <w:spacing w:val="-2"/>
              </w:rPr>
              <w:t xml:space="preserve">e) </w:t>
            </w:r>
            <w:r w:rsidR="009C293C" w:rsidRPr="009C293C">
              <w:rPr>
                <w:rFonts w:ascii="Times New Roman" w:hAnsi="Times New Roman"/>
                <w:color w:val="000000"/>
                <w:spacing w:val="-2"/>
              </w:rPr>
              <w:t>fizjoterapia – waga 0,5</w:t>
            </w:r>
            <w:r w:rsidR="00AA1C7B">
              <w:rPr>
                <w:rFonts w:ascii="Times New Roman" w:hAnsi="Times New Roman"/>
                <w:color w:val="000000"/>
                <w:spacing w:val="-2"/>
              </w:rPr>
              <w:t>,</w:t>
            </w:r>
          </w:p>
          <w:p w14:paraId="103D7C64" w14:textId="40CE462E" w:rsidR="009C293C" w:rsidRPr="009C293C" w:rsidRDefault="00E740E0" w:rsidP="00C54927">
            <w:pPr>
              <w:pStyle w:val="Akapitzlist"/>
              <w:spacing w:line="240" w:lineRule="auto"/>
              <w:ind w:left="769"/>
              <w:jc w:val="both"/>
              <w:rPr>
                <w:rFonts w:ascii="Times New Roman" w:hAnsi="Times New Roman"/>
                <w:color w:val="000000"/>
                <w:spacing w:val="-2"/>
              </w:rPr>
            </w:pPr>
            <w:r>
              <w:rPr>
                <w:rFonts w:ascii="Times New Roman" w:hAnsi="Times New Roman"/>
                <w:color w:val="000000"/>
                <w:spacing w:val="-2"/>
              </w:rPr>
              <w:t xml:space="preserve">f) </w:t>
            </w:r>
            <w:r w:rsidR="009C293C" w:rsidRPr="009C293C">
              <w:rPr>
                <w:rFonts w:ascii="Times New Roman" w:hAnsi="Times New Roman"/>
                <w:color w:val="000000"/>
                <w:spacing w:val="-2"/>
              </w:rPr>
              <w:t xml:space="preserve">ratownictwo medyczne </w:t>
            </w:r>
            <w:r w:rsidR="009612F8" w:rsidRPr="009612F8">
              <w:rPr>
                <w:rFonts w:ascii="Times New Roman" w:hAnsi="Times New Roman"/>
                <w:color w:val="000000"/>
                <w:spacing w:val="-2"/>
              </w:rPr>
              <w:t>–</w:t>
            </w:r>
            <w:r w:rsidR="009C293C" w:rsidRPr="009C293C">
              <w:rPr>
                <w:rFonts w:ascii="Times New Roman" w:hAnsi="Times New Roman"/>
                <w:color w:val="000000"/>
                <w:spacing w:val="-2"/>
              </w:rPr>
              <w:t xml:space="preserve"> I stopień – waga 0,5.</w:t>
            </w:r>
          </w:p>
          <w:p w14:paraId="475A4903" w14:textId="55E290A0" w:rsidR="00A37BB7" w:rsidRDefault="009C293C" w:rsidP="005C55B0">
            <w:pPr>
              <w:spacing w:line="240" w:lineRule="auto"/>
              <w:ind w:left="344"/>
              <w:jc w:val="both"/>
              <w:rPr>
                <w:rFonts w:ascii="Times New Roman" w:hAnsi="Times New Roman"/>
                <w:color w:val="000000"/>
                <w:spacing w:val="-2"/>
              </w:rPr>
            </w:pPr>
            <w:r w:rsidRPr="009C293C">
              <w:rPr>
                <w:rFonts w:ascii="Times New Roman" w:hAnsi="Times New Roman"/>
                <w:color w:val="000000"/>
                <w:spacing w:val="-2"/>
              </w:rPr>
              <w:t xml:space="preserve">W przypadku pozostałych kierunków, dane uczelni pokazywały małą istotność kosztów kształcenia w </w:t>
            </w:r>
            <w:r w:rsidR="005C55B0">
              <w:rPr>
                <w:rFonts w:ascii="Times New Roman" w:hAnsi="Times New Roman"/>
                <w:color w:val="000000"/>
                <w:spacing w:val="-2"/>
              </w:rPr>
              <w:t xml:space="preserve">podmiotach </w:t>
            </w:r>
            <w:r w:rsidRPr="009C293C">
              <w:rPr>
                <w:rFonts w:ascii="Times New Roman" w:hAnsi="Times New Roman"/>
                <w:color w:val="000000"/>
                <w:spacing w:val="-2"/>
              </w:rPr>
              <w:t xml:space="preserve"> leczniczych względem kosztów kształcenia na kierunku lekarskim.</w:t>
            </w:r>
            <w:r>
              <w:rPr>
                <w:rFonts w:ascii="Times New Roman" w:hAnsi="Times New Roman"/>
                <w:color w:val="000000"/>
                <w:spacing w:val="-2"/>
              </w:rPr>
              <w:t xml:space="preserve"> </w:t>
            </w:r>
          </w:p>
          <w:p w14:paraId="1EEACCBE" w14:textId="0CD96D63" w:rsidR="009C293C" w:rsidRDefault="00F067F6" w:rsidP="005C55B0">
            <w:pPr>
              <w:spacing w:line="240" w:lineRule="auto"/>
              <w:ind w:left="344"/>
              <w:jc w:val="both"/>
              <w:rPr>
                <w:rFonts w:ascii="Times New Roman" w:hAnsi="Times New Roman"/>
                <w:color w:val="000000"/>
                <w:spacing w:val="-2"/>
              </w:rPr>
            </w:pPr>
            <w:r>
              <w:rPr>
                <w:rFonts w:ascii="Times New Roman" w:hAnsi="Times New Roman"/>
                <w:color w:val="000000"/>
                <w:spacing w:val="-2"/>
              </w:rPr>
              <w:t>Proponowany</w:t>
            </w:r>
            <w:r w:rsidRPr="009C293C">
              <w:rPr>
                <w:rFonts w:ascii="Times New Roman" w:hAnsi="Times New Roman"/>
                <w:color w:val="000000"/>
                <w:spacing w:val="-2"/>
              </w:rPr>
              <w:t xml:space="preserve"> </w:t>
            </w:r>
            <w:r w:rsidR="009C293C" w:rsidRPr="009C293C">
              <w:rPr>
                <w:rFonts w:ascii="Times New Roman" w:hAnsi="Times New Roman"/>
                <w:color w:val="000000"/>
                <w:spacing w:val="-2"/>
              </w:rPr>
              <w:t>składnik będzie premiował kształcenie na kierunkach medycznych, w których studenci odbywają kształcenie kliniczne w placówkach leczniczych. Kształcenie na takich kierunkach należy do podstawowej działalności uczelni medycznych i służy zapewnieniu kadry medycznej dla ochrony zdrowia</w:t>
            </w:r>
            <w:r w:rsidR="008724AA">
              <w:rPr>
                <w:rFonts w:ascii="Times New Roman" w:hAnsi="Times New Roman"/>
                <w:color w:val="000000"/>
                <w:spacing w:val="-2"/>
              </w:rPr>
              <w:t>;</w:t>
            </w:r>
          </w:p>
          <w:p w14:paraId="26269F7E" w14:textId="3BFB8B7A" w:rsidR="009C293C" w:rsidRPr="009C293C" w:rsidRDefault="00140D98" w:rsidP="005C55B0">
            <w:pPr>
              <w:numPr>
                <w:ilvl w:val="0"/>
                <w:numId w:val="24"/>
              </w:numPr>
              <w:spacing w:line="240" w:lineRule="auto"/>
              <w:ind w:left="320" w:hanging="284"/>
              <w:jc w:val="both"/>
              <w:rPr>
                <w:rFonts w:ascii="Times New Roman" w:hAnsi="Times New Roman"/>
                <w:color w:val="000000"/>
                <w:spacing w:val="-2"/>
              </w:rPr>
            </w:pPr>
            <w:r>
              <w:rPr>
                <w:rFonts w:ascii="Times New Roman" w:hAnsi="Times New Roman"/>
                <w:color w:val="000000"/>
                <w:spacing w:val="-2"/>
              </w:rPr>
              <w:t>d</w:t>
            </w:r>
            <w:r w:rsidR="009C293C" w:rsidRPr="009C293C">
              <w:rPr>
                <w:rFonts w:ascii="Times New Roman" w:hAnsi="Times New Roman"/>
                <w:color w:val="000000"/>
                <w:spacing w:val="-2"/>
              </w:rPr>
              <w:t>odanie nowego składnika algorytmu podziału subwencji – składnika domów studenta (</w:t>
            </w:r>
            <w:r w:rsidR="009C293C" w:rsidRPr="009C293C">
              <w:rPr>
                <w:rFonts w:ascii="Times New Roman" w:hAnsi="Times New Roman"/>
                <w:i/>
                <w:iCs/>
                <w:color w:val="000000"/>
                <w:spacing w:val="-2"/>
              </w:rPr>
              <w:t>A</w:t>
            </w:r>
            <w:r w:rsidR="009C293C" w:rsidRPr="009C293C">
              <w:rPr>
                <w:rFonts w:ascii="Times New Roman" w:hAnsi="Times New Roman"/>
                <w:color w:val="000000"/>
                <w:spacing w:val="-2"/>
              </w:rPr>
              <w:t xml:space="preserve">). Proponowany składnik będzie zależny od liczby studentów danej uczelni (z wyłączeniem cudzoziemców) zakwaterowanych w domach studenckich tej uczelni. </w:t>
            </w:r>
            <w:r w:rsidR="00F067F6" w:rsidRPr="00F067F6">
              <w:rPr>
                <w:rFonts w:ascii="Times New Roman" w:hAnsi="Times New Roman"/>
                <w:color w:val="000000"/>
                <w:spacing w:val="-2"/>
              </w:rPr>
              <w:t>Celem tego rozwiązania jest zmobilizowanie uczelni medycznych do rozbudowy i modernizacji już istniejącej bazy akademików.</w:t>
            </w:r>
            <w:r w:rsidR="009C293C" w:rsidRPr="009C293C">
              <w:rPr>
                <w:rFonts w:ascii="Times New Roman" w:hAnsi="Times New Roman"/>
                <w:color w:val="000000"/>
                <w:spacing w:val="-2"/>
              </w:rPr>
              <w:t xml:space="preserve"> Powyższe znajduje pełne uzasadnienie w świetle interesu publicznego. </w:t>
            </w:r>
            <w:r w:rsidR="00E61FFC" w:rsidRPr="00E61FFC">
              <w:rPr>
                <w:rFonts w:ascii="Times New Roman" w:hAnsi="Times New Roman"/>
                <w:color w:val="000000"/>
                <w:spacing w:val="-2"/>
              </w:rPr>
              <w:t>Uczelnie medyczne, będące uczelniami publicznymi, realizują także misję publiczną polegającą na zwiększaniu dostępności do kierunków medycznych dla osób w trudnej sytuacji materialnej.</w:t>
            </w:r>
            <w:r w:rsidR="009C293C" w:rsidRPr="009C293C">
              <w:rPr>
                <w:rFonts w:ascii="Times New Roman" w:hAnsi="Times New Roman"/>
                <w:color w:val="000000"/>
                <w:spacing w:val="-2"/>
              </w:rPr>
              <w:t xml:space="preserve"> Akademiki są jednym z podstawowych ułatwień dla takich osób w podjęciu studiów. </w:t>
            </w:r>
            <w:r w:rsidR="00E61FFC" w:rsidRPr="00E61FFC">
              <w:rPr>
                <w:rFonts w:ascii="Times New Roman" w:hAnsi="Times New Roman"/>
                <w:color w:val="000000"/>
                <w:spacing w:val="-2"/>
              </w:rPr>
              <w:t>Tymczasem większość akademików należących do uczelni medycznych charakteryzuje się niskim standardem, tj. łazienki i aneksy kuchenne przypisane są do całych pięter lub grup pokoi.</w:t>
            </w:r>
            <w:r w:rsidR="00E61FFC">
              <w:rPr>
                <w:rFonts w:ascii="Times New Roman" w:hAnsi="Times New Roman"/>
                <w:color w:val="000000"/>
                <w:spacing w:val="-2"/>
              </w:rPr>
              <w:t xml:space="preserve"> P</w:t>
            </w:r>
            <w:r w:rsidR="009C293C" w:rsidRPr="009C293C">
              <w:rPr>
                <w:rFonts w:ascii="Times New Roman" w:hAnsi="Times New Roman"/>
                <w:color w:val="000000"/>
                <w:spacing w:val="-2"/>
              </w:rPr>
              <w:t>roponowany składnik ma premiować wysoki standard akademików przez nadanie wyższej wagi pokojom jedno</w:t>
            </w:r>
            <w:r w:rsidR="00E61FFC">
              <w:rPr>
                <w:rFonts w:ascii="Times New Roman" w:hAnsi="Times New Roman"/>
                <w:color w:val="000000"/>
                <w:spacing w:val="-2"/>
              </w:rPr>
              <w:t>-</w:t>
            </w:r>
            <w:r w:rsidR="009C293C" w:rsidRPr="009C293C">
              <w:rPr>
                <w:rFonts w:ascii="Times New Roman" w:hAnsi="Times New Roman"/>
                <w:color w:val="000000"/>
                <w:spacing w:val="-2"/>
              </w:rPr>
              <w:t xml:space="preserve"> </w:t>
            </w:r>
            <w:r w:rsidR="00E61FFC">
              <w:rPr>
                <w:rFonts w:ascii="Times New Roman" w:hAnsi="Times New Roman"/>
                <w:color w:val="000000"/>
                <w:spacing w:val="-2"/>
              </w:rPr>
              <w:t>i</w:t>
            </w:r>
            <w:r w:rsidR="00E61FFC" w:rsidRPr="009C293C">
              <w:rPr>
                <w:rFonts w:ascii="Times New Roman" w:hAnsi="Times New Roman"/>
                <w:color w:val="000000"/>
                <w:spacing w:val="-2"/>
              </w:rPr>
              <w:t xml:space="preserve"> dwuosobowym</w:t>
            </w:r>
            <w:r w:rsidR="009C293C" w:rsidRPr="009C293C">
              <w:rPr>
                <w:rFonts w:ascii="Times New Roman" w:hAnsi="Times New Roman"/>
                <w:color w:val="000000"/>
                <w:spacing w:val="-2"/>
              </w:rPr>
              <w:t>, w których łazienka wraz z aneksem kuchennym</w:t>
            </w:r>
            <w:r w:rsidR="00E61FFC" w:rsidRPr="009C293C">
              <w:rPr>
                <w:rFonts w:ascii="Times New Roman" w:hAnsi="Times New Roman"/>
                <w:color w:val="000000"/>
                <w:spacing w:val="-2"/>
              </w:rPr>
              <w:t xml:space="preserve"> przynależy wyłącznie do tych pokoi</w:t>
            </w:r>
            <w:r w:rsidR="009C293C" w:rsidRPr="009C293C">
              <w:rPr>
                <w:rFonts w:ascii="Times New Roman" w:hAnsi="Times New Roman"/>
                <w:color w:val="000000"/>
                <w:spacing w:val="-2"/>
              </w:rPr>
              <w:t xml:space="preserve">. </w:t>
            </w:r>
          </w:p>
          <w:p w14:paraId="1C15950A" w14:textId="7CC79169" w:rsidR="00B535B5" w:rsidRDefault="009C293C" w:rsidP="005C55B0">
            <w:pPr>
              <w:spacing w:line="240" w:lineRule="auto"/>
              <w:ind w:left="320"/>
              <w:jc w:val="both"/>
              <w:rPr>
                <w:rFonts w:ascii="Times New Roman" w:hAnsi="Times New Roman"/>
                <w:color w:val="000000"/>
                <w:spacing w:val="-2"/>
              </w:rPr>
            </w:pPr>
            <w:r w:rsidRPr="009C293C">
              <w:rPr>
                <w:rFonts w:ascii="Times New Roman" w:hAnsi="Times New Roman"/>
                <w:color w:val="000000"/>
                <w:spacing w:val="-2"/>
              </w:rPr>
              <w:t>Podniesienie standardu pokoi będzie stanowiło rozwiązania odpowiadające współczesnym wymaganiom społecznym, zdrowotnym oraz prawnym</w:t>
            </w:r>
            <w:r w:rsidR="00D208B4">
              <w:rPr>
                <w:rFonts w:ascii="Times New Roman" w:hAnsi="Times New Roman"/>
                <w:color w:val="000000"/>
                <w:spacing w:val="-2"/>
              </w:rPr>
              <w:t>;</w:t>
            </w:r>
          </w:p>
          <w:p w14:paraId="6179761E" w14:textId="60710FDF" w:rsidR="006A701A" w:rsidRDefault="00140D98" w:rsidP="005C55B0">
            <w:pPr>
              <w:numPr>
                <w:ilvl w:val="0"/>
                <w:numId w:val="24"/>
              </w:numPr>
              <w:spacing w:line="240" w:lineRule="auto"/>
              <w:ind w:left="320" w:hanging="284"/>
              <w:jc w:val="both"/>
              <w:rPr>
                <w:rFonts w:ascii="Times New Roman" w:hAnsi="Times New Roman"/>
                <w:color w:val="000000"/>
                <w:spacing w:val="-2"/>
              </w:rPr>
            </w:pPr>
            <w:r>
              <w:rPr>
                <w:rFonts w:ascii="Times New Roman" w:hAnsi="Times New Roman"/>
                <w:color w:val="000000"/>
                <w:spacing w:val="-2"/>
              </w:rPr>
              <w:t>wprowadzenie zmian w składniku studenckim</w:t>
            </w:r>
            <w:r w:rsidR="00B80879">
              <w:rPr>
                <w:rFonts w:ascii="Times New Roman" w:hAnsi="Times New Roman"/>
                <w:color w:val="000000"/>
                <w:spacing w:val="-2"/>
              </w:rPr>
              <w:t xml:space="preserve"> (</w:t>
            </w:r>
            <w:r w:rsidR="00B80879" w:rsidRPr="00B80879">
              <w:rPr>
                <w:rFonts w:ascii="Times New Roman" w:hAnsi="Times New Roman"/>
                <w:i/>
                <w:iCs/>
                <w:color w:val="000000"/>
                <w:spacing w:val="-2"/>
              </w:rPr>
              <w:t>S</w:t>
            </w:r>
            <w:r w:rsidR="00B80879">
              <w:rPr>
                <w:rFonts w:ascii="Times New Roman" w:hAnsi="Times New Roman"/>
                <w:color w:val="000000"/>
                <w:spacing w:val="-2"/>
              </w:rPr>
              <w:t>)</w:t>
            </w:r>
            <w:r>
              <w:rPr>
                <w:rFonts w:ascii="Times New Roman" w:hAnsi="Times New Roman"/>
                <w:color w:val="000000"/>
                <w:spacing w:val="-2"/>
              </w:rPr>
              <w:t>:</w:t>
            </w:r>
          </w:p>
          <w:p w14:paraId="1FDF3F41" w14:textId="4FAFF130" w:rsidR="00140D98" w:rsidRPr="00140D98" w:rsidRDefault="00140D98" w:rsidP="00C54927">
            <w:pPr>
              <w:pStyle w:val="Akapitzlist"/>
              <w:numPr>
                <w:ilvl w:val="0"/>
                <w:numId w:val="28"/>
              </w:numPr>
              <w:spacing w:line="240" w:lineRule="auto"/>
              <w:ind w:left="769"/>
              <w:jc w:val="both"/>
              <w:rPr>
                <w:rFonts w:ascii="Times New Roman" w:hAnsi="Times New Roman"/>
                <w:color w:val="000000"/>
                <w:spacing w:val="-2"/>
              </w:rPr>
            </w:pPr>
            <w:r w:rsidRPr="00140D98">
              <w:rPr>
                <w:rFonts w:ascii="Times New Roman" w:hAnsi="Times New Roman"/>
                <w:color w:val="000000"/>
                <w:spacing w:val="-2"/>
                <w:lang w:val="en-US"/>
              </w:rPr>
              <w:t xml:space="preserve">korekta parametru </w:t>
            </w:r>
            <w:r w:rsidRPr="00140D98">
              <w:rPr>
                <w:rFonts w:ascii="Times New Roman" w:hAnsi="Times New Roman"/>
                <w:i/>
                <w:iCs/>
                <w:color w:val="000000"/>
                <w:spacing w:val="-2"/>
                <w:lang w:val="en-US"/>
              </w:rPr>
              <w:t>SSR</w:t>
            </w:r>
            <w:r w:rsidRPr="00140D98">
              <w:rPr>
                <w:rFonts w:ascii="Times New Roman" w:hAnsi="Times New Roman"/>
                <w:color w:val="000000"/>
                <w:spacing w:val="-2"/>
                <w:lang w:val="en-US"/>
              </w:rPr>
              <w:t xml:space="preserve"> (Student Staff Ratio). </w:t>
            </w:r>
            <w:r w:rsidRPr="00140D98">
              <w:rPr>
                <w:rFonts w:ascii="Times New Roman" w:hAnsi="Times New Roman"/>
                <w:color w:val="000000"/>
                <w:spacing w:val="-2"/>
              </w:rPr>
              <w:t xml:space="preserve">Parametr ten </w:t>
            </w:r>
            <w:r w:rsidR="00E61FFC">
              <w:rPr>
                <w:rFonts w:ascii="Times New Roman" w:hAnsi="Times New Roman"/>
                <w:color w:val="000000"/>
                <w:spacing w:val="-2"/>
              </w:rPr>
              <w:t xml:space="preserve">aktualnie jest </w:t>
            </w:r>
            <w:r w:rsidRPr="00140D98">
              <w:rPr>
                <w:rFonts w:ascii="Times New Roman" w:hAnsi="Times New Roman"/>
                <w:color w:val="000000"/>
                <w:spacing w:val="-2"/>
              </w:rPr>
              <w:t xml:space="preserve">równy 7,0 </w:t>
            </w:r>
            <w:r w:rsidR="00E61FFC">
              <w:rPr>
                <w:rFonts w:ascii="Times New Roman" w:hAnsi="Times New Roman"/>
                <w:color w:val="000000"/>
                <w:spacing w:val="-2"/>
              </w:rPr>
              <w:t xml:space="preserve">i </w:t>
            </w:r>
            <w:r w:rsidRPr="00140D98">
              <w:rPr>
                <w:rFonts w:ascii="Times New Roman" w:hAnsi="Times New Roman"/>
                <w:color w:val="000000"/>
                <w:spacing w:val="-2"/>
              </w:rPr>
              <w:t xml:space="preserve">określa </w:t>
            </w:r>
            <w:r>
              <w:rPr>
                <w:rFonts w:ascii="Times New Roman" w:hAnsi="Times New Roman"/>
                <w:color w:val="000000"/>
                <w:spacing w:val="-2"/>
              </w:rPr>
              <w:t xml:space="preserve">preferowaną przez Ministerstwo Zdrowia </w:t>
            </w:r>
            <w:r w:rsidRPr="00140D98">
              <w:rPr>
                <w:rFonts w:ascii="Times New Roman" w:hAnsi="Times New Roman"/>
                <w:color w:val="000000"/>
                <w:spacing w:val="-2"/>
              </w:rPr>
              <w:t>maksymalną liczbę studentów przypadających na jednego nauczyciela akademickiego</w:t>
            </w:r>
            <w:r>
              <w:rPr>
                <w:rFonts w:ascii="Times New Roman" w:hAnsi="Times New Roman"/>
                <w:color w:val="000000"/>
                <w:spacing w:val="-2"/>
              </w:rPr>
              <w:t xml:space="preserve"> w uczelniach medycznych</w:t>
            </w:r>
            <w:r w:rsidRPr="00140D98">
              <w:rPr>
                <w:rFonts w:ascii="Times New Roman" w:hAnsi="Times New Roman"/>
                <w:color w:val="000000"/>
                <w:spacing w:val="-2"/>
              </w:rPr>
              <w:t xml:space="preserve">. Jeżeli w </w:t>
            </w:r>
            <w:r w:rsidR="00E61FFC">
              <w:rPr>
                <w:rFonts w:ascii="Times New Roman" w:hAnsi="Times New Roman"/>
                <w:color w:val="000000"/>
                <w:spacing w:val="-2"/>
              </w:rPr>
              <w:t xml:space="preserve">danej </w:t>
            </w:r>
            <w:r w:rsidRPr="00140D98">
              <w:rPr>
                <w:rFonts w:ascii="Times New Roman" w:hAnsi="Times New Roman"/>
                <w:color w:val="000000"/>
                <w:spacing w:val="-2"/>
              </w:rPr>
              <w:t>uczelni liczba studentów przypadających na nauczyciela jest większa</w:t>
            </w:r>
            <w:r w:rsidR="00E61FFC">
              <w:rPr>
                <w:rFonts w:ascii="Times New Roman" w:hAnsi="Times New Roman"/>
                <w:color w:val="000000"/>
                <w:spacing w:val="-2"/>
              </w:rPr>
              <w:t xml:space="preserve">, </w:t>
            </w:r>
            <w:r w:rsidRPr="00140D98">
              <w:rPr>
                <w:rFonts w:ascii="Times New Roman" w:hAnsi="Times New Roman"/>
                <w:color w:val="000000"/>
                <w:spacing w:val="-2"/>
              </w:rPr>
              <w:t xml:space="preserve">to formuła </w:t>
            </w:r>
            <w:r w:rsidR="00E61FFC">
              <w:rPr>
                <w:rFonts w:ascii="Times New Roman" w:hAnsi="Times New Roman"/>
                <w:color w:val="000000"/>
                <w:spacing w:val="-2"/>
              </w:rPr>
              <w:t xml:space="preserve">obliczania parametru </w:t>
            </w:r>
            <w:r w:rsidRPr="00140D98">
              <w:rPr>
                <w:rFonts w:ascii="Times New Roman" w:hAnsi="Times New Roman"/>
                <w:color w:val="000000"/>
                <w:spacing w:val="-2"/>
              </w:rPr>
              <w:t xml:space="preserve">istotnie zmniejsza wartość przypadającą dla tej uczelni w składniku, co przekłada się na mniejszą subwencję. </w:t>
            </w:r>
            <w:r>
              <w:rPr>
                <w:rFonts w:ascii="Times New Roman" w:hAnsi="Times New Roman"/>
                <w:color w:val="000000"/>
                <w:spacing w:val="-2"/>
              </w:rPr>
              <w:t>A</w:t>
            </w:r>
            <w:r w:rsidRPr="00140D98">
              <w:rPr>
                <w:rFonts w:ascii="Times New Roman" w:hAnsi="Times New Roman"/>
                <w:color w:val="000000"/>
                <w:spacing w:val="-2"/>
              </w:rPr>
              <w:t xml:space="preserve">naliza wieloletnich danych o liczbie studentów, doktorantów i nauczycieli akademickich pokazuje, liczba studentów od 2019 r. pozostaje na praktycznie niezmienionym poziomie (spadek o 1%) natomiast liczba nauczycieli znacząco się zwiększyła (wzrost o 10%). Aktualnie średni parametr SSR w uczelniach medycznych wynosi 6,25. Jedyną </w:t>
            </w:r>
            <w:r w:rsidR="00E61FFC" w:rsidRPr="00140D98">
              <w:rPr>
                <w:rFonts w:ascii="Times New Roman" w:hAnsi="Times New Roman"/>
                <w:color w:val="000000"/>
                <w:spacing w:val="-2"/>
              </w:rPr>
              <w:t>uczelnią,</w:t>
            </w:r>
            <w:r w:rsidRPr="00140D98">
              <w:rPr>
                <w:rFonts w:ascii="Times New Roman" w:hAnsi="Times New Roman"/>
                <w:color w:val="000000"/>
                <w:spacing w:val="-2"/>
              </w:rPr>
              <w:t xml:space="preserve"> w której SSR jest powyżej 7,0 jest Pomorski Uniwersytet Medyczny w Szczecinie z wartością 8,3. </w:t>
            </w:r>
            <w:r>
              <w:rPr>
                <w:rFonts w:ascii="Times New Roman" w:hAnsi="Times New Roman"/>
                <w:color w:val="000000"/>
                <w:spacing w:val="-2"/>
              </w:rPr>
              <w:t xml:space="preserve">W rozporządzeniu </w:t>
            </w:r>
            <w:r w:rsidRPr="00140D98">
              <w:rPr>
                <w:rFonts w:ascii="Times New Roman" w:hAnsi="Times New Roman"/>
                <w:color w:val="000000"/>
                <w:spacing w:val="-2"/>
              </w:rPr>
              <w:t xml:space="preserve">proponuje </w:t>
            </w:r>
            <w:r>
              <w:rPr>
                <w:rFonts w:ascii="Times New Roman" w:hAnsi="Times New Roman"/>
                <w:color w:val="000000"/>
                <w:spacing w:val="-2"/>
              </w:rPr>
              <w:t xml:space="preserve">się </w:t>
            </w:r>
            <w:r w:rsidRPr="00140D98">
              <w:rPr>
                <w:rFonts w:ascii="Times New Roman" w:hAnsi="Times New Roman"/>
                <w:color w:val="000000"/>
                <w:spacing w:val="-2"/>
              </w:rPr>
              <w:t>zwiększenie dopuszczalnej wartości SSR do poziomu 7,5</w:t>
            </w:r>
            <w:r>
              <w:rPr>
                <w:rFonts w:ascii="Times New Roman" w:hAnsi="Times New Roman"/>
                <w:color w:val="000000"/>
                <w:spacing w:val="-2"/>
              </w:rPr>
              <w:t xml:space="preserve">, tj. wartości obowiązującej w latach 2022 i 2023 </w:t>
            </w:r>
            <w:r w:rsidRPr="00140D98">
              <w:rPr>
                <w:rFonts w:ascii="Times New Roman" w:hAnsi="Times New Roman"/>
                <w:color w:val="000000"/>
                <w:spacing w:val="-2"/>
              </w:rPr>
              <w:t xml:space="preserve">oraz ustanowienie dolnej granicy </w:t>
            </w:r>
            <w:r>
              <w:rPr>
                <w:rFonts w:ascii="Times New Roman" w:hAnsi="Times New Roman"/>
                <w:color w:val="000000"/>
                <w:spacing w:val="-2"/>
              </w:rPr>
              <w:t xml:space="preserve">parametru </w:t>
            </w:r>
            <w:r w:rsidRPr="00140D98">
              <w:rPr>
                <w:rFonts w:ascii="Times New Roman" w:hAnsi="Times New Roman"/>
                <w:color w:val="000000"/>
                <w:spacing w:val="-2"/>
              </w:rPr>
              <w:t>na poziomie 5,0</w:t>
            </w:r>
            <w:r w:rsidR="00E61FFC">
              <w:rPr>
                <w:rFonts w:ascii="Times New Roman" w:hAnsi="Times New Roman"/>
                <w:color w:val="000000"/>
                <w:spacing w:val="-2"/>
              </w:rPr>
              <w:t xml:space="preserve">, </w:t>
            </w:r>
            <w:r w:rsidRPr="00140D98">
              <w:rPr>
                <w:rFonts w:ascii="Times New Roman" w:hAnsi="Times New Roman"/>
                <w:color w:val="000000"/>
                <w:spacing w:val="-2"/>
              </w:rPr>
              <w:t>po przekroczeniu</w:t>
            </w:r>
            <w:r w:rsidR="00E61FFC">
              <w:rPr>
                <w:rFonts w:ascii="Times New Roman" w:hAnsi="Times New Roman"/>
                <w:color w:val="000000"/>
                <w:spacing w:val="-2"/>
              </w:rPr>
              <w:t xml:space="preserve"> </w:t>
            </w:r>
            <w:r w:rsidRPr="00140D98">
              <w:rPr>
                <w:rFonts w:ascii="Times New Roman" w:hAnsi="Times New Roman"/>
                <w:color w:val="000000"/>
                <w:spacing w:val="-2"/>
              </w:rPr>
              <w:t>które</w:t>
            </w:r>
            <w:r w:rsidR="00E61FFC">
              <w:rPr>
                <w:rFonts w:ascii="Times New Roman" w:hAnsi="Times New Roman"/>
                <w:color w:val="000000"/>
                <w:spacing w:val="-2"/>
              </w:rPr>
              <w:t>go</w:t>
            </w:r>
            <w:r w:rsidRPr="00140D98">
              <w:rPr>
                <w:rFonts w:ascii="Times New Roman" w:hAnsi="Times New Roman"/>
                <w:color w:val="000000"/>
                <w:spacing w:val="-2"/>
              </w:rPr>
              <w:t xml:space="preserve"> uczelnie będą miały zmniejszaną wartość w składniku studenckim. Ustanowienie dolnej granicy służyć ma ograniczeniu przerostu zatrudnienia na uczelniach. Aktualnie przy utrzymaniu liczby kształconych studentów, nieuzasadnione jest zwiększanie zatrudnienia. </w:t>
            </w:r>
            <w:r w:rsidR="00B80879">
              <w:rPr>
                <w:rFonts w:ascii="Times New Roman" w:hAnsi="Times New Roman"/>
                <w:color w:val="000000"/>
                <w:spacing w:val="-2"/>
              </w:rPr>
              <w:t>Specyfika kształcenia w uczelniach medycznych nie uzasadnia dalszego zwiększania zatrudnienia nauczycieli akademickich przy utrzymaniu stałej liczby kształconych studentów</w:t>
            </w:r>
            <w:r w:rsidR="006E0580">
              <w:rPr>
                <w:rFonts w:ascii="Times New Roman" w:hAnsi="Times New Roman"/>
                <w:color w:val="000000"/>
                <w:spacing w:val="-2"/>
              </w:rPr>
              <w:t>,</w:t>
            </w:r>
            <w:r w:rsidR="00B80879">
              <w:rPr>
                <w:rFonts w:ascii="Times New Roman" w:hAnsi="Times New Roman"/>
                <w:color w:val="000000"/>
                <w:spacing w:val="-2"/>
              </w:rPr>
              <w:t xml:space="preserve"> </w:t>
            </w:r>
          </w:p>
          <w:p w14:paraId="6468B4FF" w14:textId="2F4E30CD" w:rsidR="00140D98" w:rsidRDefault="00B80879" w:rsidP="005C55B0">
            <w:pPr>
              <w:pStyle w:val="Akapitzlist"/>
              <w:numPr>
                <w:ilvl w:val="0"/>
                <w:numId w:val="28"/>
              </w:numPr>
              <w:spacing w:line="240" w:lineRule="auto"/>
              <w:ind w:left="769"/>
              <w:jc w:val="both"/>
              <w:rPr>
                <w:rFonts w:ascii="Times New Roman" w:hAnsi="Times New Roman"/>
                <w:color w:val="000000"/>
                <w:spacing w:val="-2"/>
              </w:rPr>
            </w:pPr>
            <w:r>
              <w:rPr>
                <w:rFonts w:ascii="Times New Roman" w:hAnsi="Times New Roman"/>
                <w:color w:val="000000"/>
                <w:spacing w:val="-2"/>
              </w:rPr>
              <w:t>w</w:t>
            </w:r>
            <w:r w:rsidRPr="00B80879">
              <w:rPr>
                <w:rFonts w:ascii="Times New Roman" w:hAnsi="Times New Roman"/>
                <w:color w:val="000000"/>
                <w:spacing w:val="-2"/>
              </w:rPr>
              <w:t xml:space="preserve">pisanie sankcji dla uczelni za kształcenie na poszczególnych latach studiów większej liczby studentów stacjonarnych na kierunku lekarskim oraz lekarsko-dentystycznym niż określona dla danego rocznika w rozporządzeniu Ministra Zdrowia w sprawie limitu przyjęć na studia na kierunkach lekarskim i lekarsko-dentystycznym. Analogiczna sankcja będzie za wypromowanie większej liczby absolwentów na tych kierunkach niż limit dla danego rocznika określony w rozporządzeniu. Aktualnie w części uczelni medycznych zauważalny jest </w:t>
            </w:r>
            <w:r w:rsidRPr="00B80879">
              <w:rPr>
                <w:rFonts w:ascii="Times New Roman" w:hAnsi="Times New Roman"/>
                <w:color w:val="000000"/>
                <w:spacing w:val="-2"/>
              </w:rPr>
              <w:lastRenderedPageBreak/>
              <w:t>proces przenoszenia studentów studiów niestacjonarnych kierunków lekarskiego oraz lekarsko-dentystycznego na studia stacjonarne. Zmiana najczęściej następuje na początku ostatniego roku oraz na ostatnim semestrze tych studiów. Tym samym uczelnie nie otrzymują odpłatności od tych studentów za kształcenie na studiach niestacjonarnych, a koszt kształcenia jest przenoszony na budżet państwa i finansowany z subwencji. Wprowadzona zmiana ograniczy negatywne praktyki uczelni oraz zwiększy ich przychody z odpłatności za studia niestacjonarne</w:t>
            </w:r>
            <w:r w:rsidR="00855677">
              <w:rPr>
                <w:rFonts w:ascii="Times New Roman" w:hAnsi="Times New Roman"/>
                <w:color w:val="000000"/>
                <w:spacing w:val="-2"/>
              </w:rPr>
              <w:t>,</w:t>
            </w:r>
          </w:p>
          <w:p w14:paraId="6AFE18B6" w14:textId="15CD6AF7" w:rsidR="00B80879" w:rsidRDefault="00B80879" w:rsidP="005C55B0">
            <w:pPr>
              <w:pStyle w:val="Akapitzlist"/>
              <w:numPr>
                <w:ilvl w:val="0"/>
                <w:numId w:val="28"/>
              </w:numPr>
              <w:spacing w:line="240" w:lineRule="auto"/>
              <w:ind w:left="769"/>
              <w:jc w:val="both"/>
              <w:rPr>
                <w:rFonts w:ascii="Times New Roman" w:hAnsi="Times New Roman"/>
                <w:color w:val="000000"/>
                <w:spacing w:val="-2"/>
              </w:rPr>
            </w:pPr>
            <w:r>
              <w:rPr>
                <w:rFonts w:ascii="Times New Roman" w:hAnsi="Times New Roman"/>
                <w:color w:val="000000"/>
                <w:spacing w:val="-2"/>
              </w:rPr>
              <w:t xml:space="preserve">wprowadzenie do wzoru parametru </w:t>
            </w:r>
            <w:r w:rsidRPr="00B80879">
              <w:rPr>
                <w:rFonts w:ascii="Times New Roman" w:hAnsi="Times New Roman"/>
                <w:i/>
                <w:iCs/>
                <w:color w:val="000000"/>
                <w:spacing w:val="-2"/>
              </w:rPr>
              <w:t>Lsn</w:t>
            </w:r>
            <w:r>
              <w:rPr>
                <w:rFonts w:ascii="Times New Roman" w:hAnsi="Times New Roman"/>
                <w:i/>
                <w:iCs/>
                <w:color w:val="000000"/>
                <w:spacing w:val="-2"/>
              </w:rPr>
              <w:t xml:space="preserve">. </w:t>
            </w:r>
            <w:r w:rsidRPr="00B80879">
              <w:rPr>
                <w:rFonts w:ascii="Times New Roman" w:hAnsi="Times New Roman"/>
                <w:color w:val="000000"/>
                <w:spacing w:val="-2"/>
              </w:rPr>
              <w:t xml:space="preserve">Parametr ten będzie uwzględniał studentów w uczelni medycznej będących cudzoziemcami, pobierających stypendium przyznane przez </w:t>
            </w:r>
            <w:r w:rsidR="001B42AC">
              <w:rPr>
                <w:rFonts w:ascii="Times New Roman" w:hAnsi="Times New Roman"/>
                <w:color w:val="000000"/>
                <w:spacing w:val="-2"/>
              </w:rPr>
              <w:t>ministra właściwego do spraw zdrowia</w:t>
            </w:r>
            <w:r w:rsidRPr="00B80879">
              <w:rPr>
                <w:rFonts w:ascii="Times New Roman" w:hAnsi="Times New Roman"/>
                <w:color w:val="000000"/>
                <w:spacing w:val="-2"/>
              </w:rPr>
              <w:t xml:space="preserve"> lub Dyrektora Narodowej Agencji Wymiany Akademickiej</w:t>
            </w:r>
            <w:r w:rsidR="00F70110">
              <w:rPr>
                <w:rFonts w:ascii="Times New Roman" w:hAnsi="Times New Roman"/>
                <w:color w:val="000000"/>
                <w:spacing w:val="-2"/>
              </w:rPr>
              <w:t>, zwanej dalej „NAWA”.</w:t>
            </w:r>
            <w:r>
              <w:rPr>
                <w:rFonts w:ascii="Times New Roman" w:hAnsi="Times New Roman"/>
                <w:color w:val="000000"/>
                <w:spacing w:val="-2"/>
              </w:rPr>
              <w:t xml:space="preserve"> Parametr ten został przeniesiony z likwidowanego składnika umiędzynarodowienia. Utrzymanie </w:t>
            </w:r>
            <w:r w:rsidR="00772F02">
              <w:rPr>
                <w:rFonts w:ascii="Times New Roman" w:hAnsi="Times New Roman"/>
                <w:color w:val="000000"/>
                <w:spacing w:val="-2"/>
              </w:rPr>
              <w:t>tego</w:t>
            </w:r>
            <w:r>
              <w:rPr>
                <w:rFonts w:ascii="Times New Roman" w:hAnsi="Times New Roman"/>
                <w:color w:val="000000"/>
                <w:spacing w:val="-2"/>
              </w:rPr>
              <w:t xml:space="preserve"> parametru będzie stanowiło zachętę dla uczelni do przyjmowania studentów cudzoziemców stypendystów </w:t>
            </w:r>
            <w:r w:rsidR="00322E26" w:rsidRPr="00322E26">
              <w:rPr>
                <w:rFonts w:ascii="Times New Roman" w:hAnsi="Times New Roman"/>
                <w:color w:val="000000"/>
                <w:spacing w:val="-2"/>
              </w:rPr>
              <w:t>ministra właściwego do spraw zdrowia</w:t>
            </w:r>
            <w:r w:rsidR="00E8062C">
              <w:rPr>
                <w:rFonts w:ascii="Times New Roman" w:hAnsi="Times New Roman"/>
                <w:color w:val="000000"/>
                <w:spacing w:val="-2"/>
              </w:rPr>
              <w:t xml:space="preserve"> </w:t>
            </w:r>
            <w:r>
              <w:rPr>
                <w:rFonts w:ascii="Times New Roman" w:hAnsi="Times New Roman"/>
                <w:color w:val="000000"/>
                <w:spacing w:val="-2"/>
              </w:rPr>
              <w:t>lub NAWA</w:t>
            </w:r>
            <w:r w:rsidR="00D208B4">
              <w:rPr>
                <w:rFonts w:ascii="Times New Roman" w:hAnsi="Times New Roman"/>
                <w:color w:val="000000"/>
                <w:spacing w:val="-2"/>
              </w:rPr>
              <w:t>;</w:t>
            </w:r>
            <w:r w:rsidR="00322E26">
              <w:rPr>
                <w:rFonts w:ascii="Times New Roman" w:hAnsi="Times New Roman"/>
                <w:color w:val="000000"/>
                <w:spacing w:val="-2"/>
              </w:rPr>
              <w:t xml:space="preserve"> </w:t>
            </w:r>
            <w:r w:rsidR="00882429">
              <w:rPr>
                <w:rFonts w:ascii="Times New Roman" w:hAnsi="Times New Roman"/>
                <w:color w:val="000000"/>
                <w:spacing w:val="-2"/>
              </w:rPr>
              <w:t xml:space="preserve">  </w:t>
            </w:r>
          </w:p>
          <w:p w14:paraId="608D952A" w14:textId="74F392CF" w:rsidR="00B80879" w:rsidRDefault="00B80879" w:rsidP="005C55B0">
            <w:pPr>
              <w:numPr>
                <w:ilvl w:val="0"/>
                <w:numId w:val="24"/>
              </w:numPr>
              <w:spacing w:line="240" w:lineRule="auto"/>
              <w:ind w:left="320" w:hanging="284"/>
              <w:jc w:val="both"/>
              <w:rPr>
                <w:rFonts w:ascii="Times New Roman" w:hAnsi="Times New Roman"/>
                <w:color w:val="000000"/>
                <w:spacing w:val="-2"/>
              </w:rPr>
            </w:pPr>
            <w:r>
              <w:rPr>
                <w:rFonts w:ascii="Times New Roman" w:hAnsi="Times New Roman"/>
                <w:color w:val="000000"/>
                <w:spacing w:val="-2"/>
              </w:rPr>
              <w:t xml:space="preserve">wprowadzenie zmian w składniku kadrowym (K) polegających na usunięciu parametru </w:t>
            </w:r>
            <w:r w:rsidRPr="00B80879">
              <w:rPr>
                <w:rFonts w:ascii="Times New Roman" w:hAnsi="Times New Roman"/>
                <w:i/>
                <w:iCs/>
                <w:color w:val="000000"/>
                <w:spacing w:val="-2"/>
              </w:rPr>
              <w:t>LZprof</w:t>
            </w:r>
            <w:r w:rsidRPr="00B80879">
              <w:rPr>
                <w:rFonts w:ascii="Times New Roman" w:hAnsi="Times New Roman"/>
                <w:color w:val="000000"/>
                <w:spacing w:val="-2"/>
              </w:rPr>
              <w:t xml:space="preserve"> </w:t>
            </w:r>
            <w:r w:rsidR="008438A1">
              <w:rPr>
                <w:rFonts w:ascii="Times New Roman" w:hAnsi="Times New Roman"/>
                <w:color w:val="000000"/>
                <w:spacing w:val="-2"/>
              </w:rPr>
              <w:t>(profesor cudzoziemiec)</w:t>
            </w:r>
            <w:r w:rsidR="00877879">
              <w:rPr>
                <w:rFonts w:ascii="Times New Roman" w:hAnsi="Times New Roman"/>
                <w:color w:val="000000"/>
                <w:spacing w:val="-2"/>
              </w:rPr>
              <w:t xml:space="preserve"> </w:t>
            </w:r>
            <w:r w:rsidR="00772F02">
              <w:rPr>
                <w:rFonts w:ascii="Times New Roman" w:hAnsi="Times New Roman"/>
                <w:color w:val="000000"/>
                <w:spacing w:val="-2"/>
              </w:rPr>
              <w:t>oznaczającego</w:t>
            </w:r>
            <w:r w:rsidRPr="00B80879">
              <w:rPr>
                <w:rFonts w:ascii="Times New Roman" w:hAnsi="Times New Roman"/>
                <w:color w:val="000000"/>
                <w:spacing w:val="-2"/>
              </w:rPr>
              <w:t xml:space="preserve"> liczbę osób niebędących obywatelami polskimi posiadających tytuł profesora lub zatrudnionych na stanowisku profesora uczelni w innej uczelni, zagranicznej uczelni lub zagranicznej instytucji naukowej lub na stanowisku profesora w instytucie Polskiej Akademii Nauk, instytucie badawczym lub instytucie międzynarodowym, które w poprzednim roku akademickim przeprowadziły co najmniej 60 godzin zajęć dydaktycznych w </w:t>
            </w:r>
            <w:r w:rsidRPr="009577E0">
              <w:rPr>
                <w:rFonts w:ascii="Times New Roman" w:hAnsi="Times New Roman"/>
                <w:color w:val="000000"/>
                <w:spacing w:val="-2"/>
              </w:rPr>
              <w:t>i</w:t>
            </w:r>
            <w:r w:rsidR="009577E0">
              <w:rPr>
                <w:rFonts w:ascii="Times New Roman" w:hAnsi="Times New Roman"/>
                <w:color w:val="000000"/>
                <w:spacing w:val="-2"/>
              </w:rPr>
              <w:t xml:space="preserve"> – </w:t>
            </w:r>
            <w:r w:rsidRPr="00B80879">
              <w:rPr>
                <w:rFonts w:ascii="Times New Roman" w:hAnsi="Times New Roman"/>
                <w:color w:val="000000"/>
                <w:spacing w:val="-2"/>
              </w:rPr>
              <w:t xml:space="preserve">tej uczelni medycznej (z wyłączeniem osób pozostających z </w:t>
            </w:r>
            <w:r w:rsidRPr="00C54927">
              <w:rPr>
                <w:rFonts w:ascii="Times New Roman" w:hAnsi="Times New Roman"/>
                <w:i/>
                <w:iCs/>
                <w:color w:val="000000"/>
                <w:spacing w:val="-2"/>
              </w:rPr>
              <w:t>i</w:t>
            </w:r>
            <w:r w:rsidR="009577E0">
              <w:rPr>
                <w:rFonts w:ascii="Times New Roman" w:hAnsi="Times New Roman"/>
                <w:i/>
                <w:iCs/>
                <w:color w:val="000000"/>
                <w:spacing w:val="-2"/>
              </w:rPr>
              <w:t xml:space="preserve"> </w:t>
            </w:r>
            <w:r w:rsidR="00882429" w:rsidRPr="00882429">
              <w:rPr>
                <w:rFonts w:ascii="Times New Roman" w:hAnsi="Times New Roman"/>
                <w:color w:val="000000"/>
                <w:spacing w:val="-2"/>
              </w:rPr>
              <w:t>–</w:t>
            </w:r>
            <w:r w:rsidR="009577E0">
              <w:rPr>
                <w:rFonts w:ascii="Times New Roman" w:hAnsi="Times New Roman"/>
                <w:color w:val="000000"/>
                <w:spacing w:val="-2"/>
              </w:rPr>
              <w:t xml:space="preserve"> </w:t>
            </w:r>
            <w:r w:rsidRPr="00B80879">
              <w:rPr>
                <w:rFonts w:ascii="Times New Roman" w:hAnsi="Times New Roman"/>
                <w:color w:val="000000"/>
                <w:spacing w:val="-2"/>
              </w:rPr>
              <w:t>tą uczelnią w stosunku pracy)</w:t>
            </w:r>
            <w:r>
              <w:rPr>
                <w:rFonts w:ascii="Times New Roman" w:hAnsi="Times New Roman"/>
                <w:color w:val="000000"/>
                <w:spacing w:val="-2"/>
              </w:rPr>
              <w:t xml:space="preserve">. </w:t>
            </w:r>
            <w:r w:rsidRPr="00B80879">
              <w:rPr>
                <w:rFonts w:ascii="Times New Roman" w:hAnsi="Times New Roman"/>
                <w:color w:val="000000"/>
                <w:spacing w:val="-2"/>
              </w:rPr>
              <w:t xml:space="preserve">Parametr ten zgodnie z pierwotnym założeniem miał stanowić instrument premiujący uczelnie zatrudniające wybitnych naukowców będących obywatelami państw obcych, którzy prowadziliby wykłady w wymiarze co najmniej 60 godzin w roku akademickim. Analiza dotychczasowych efektów stosowania powyższego parametru prowadzi do wniosku, </w:t>
            </w:r>
            <w:r w:rsidR="00882429">
              <w:rPr>
                <w:rFonts w:ascii="Times New Roman" w:hAnsi="Times New Roman"/>
                <w:color w:val="000000"/>
                <w:spacing w:val="-2"/>
              </w:rPr>
              <w:t>że</w:t>
            </w:r>
            <w:r w:rsidRPr="00B80879">
              <w:rPr>
                <w:rFonts w:ascii="Times New Roman" w:hAnsi="Times New Roman"/>
                <w:color w:val="000000"/>
                <w:spacing w:val="-2"/>
              </w:rPr>
              <w:t xml:space="preserve"> w przypadku uczelni medycznych parametr ten nie przyczynił się do rzeczywistego napływu profesorów</w:t>
            </w:r>
            <w:r w:rsidR="00C54927">
              <w:rPr>
                <w:rFonts w:ascii="Times New Roman" w:hAnsi="Times New Roman"/>
                <w:color w:val="000000"/>
                <w:spacing w:val="-2"/>
              </w:rPr>
              <w:t xml:space="preserve"> </w:t>
            </w:r>
            <w:r w:rsidRPr="00B80879">
              <w:rPr>
                <w:rFonts w:ascii="Times New Roman" w:hAnsi="Times New Roman"/>
                <w:color w:val="000000"/>
                <w:spacing w:val="-2"/>
              </w:rPr>
              <w:t>cudzoziemców. W związku z tym dalsze utrzymywanie wskazanego kryterium należy uznać za niecelowe i nieefektywne, gdyż nie realizuje ono zakładanych funkcji stymulacyjnych, ani nie wpływa w wymierny sposób na umiędzynarodowienie polskich uczelni medycznych</w:t>
            </w:r>
            <w:r w:rsidR="003B6933">
              <w:rPr>
                <w:rFonts w:ascii="Times New Roman" w:hAnsi="Times New Roman"/>
                <w:color w:val="000000"/>
                <w:spacing w:val="-2"/>
              </w:rPr>
              <w:t xml:space="preserve">; </w:t>
            </w:r>
          </w:p>
          <w:p w14:paraId="0D96C351" w14:textId="1A9BAFE3" w:rsidR="00B80879" w:rsidRPr="00E8062C" w:rsidRDefault="003B6933" w:rsidP="00C54927">
            <w:pPr>
              <w:numPr>
                <w:ilvl w:val="0"/>
                <w:numId w:val="24"/>
              </w:numPr>
              <w:spacing w:line="240" w:lineRule="auto"/>
              <w:ind w:left="320" w:hanging="284"/>
              <w:jc w:val="both"/>
              <w:rPr>
                <w:rFonts w:ascii="Times New Roman" w:hAnsi="Times New Roman"/>
                <w:color w:val="000000"/>
                <w:spacing w:val="-2"/>
              </w:rPr>
            </w:pPr>
            <w:r>
              <w:rPr>
                <w:rFonts w:ascii="Times New Roman" w:hAnsi="Times New Roman"/>
                <w:color w:val="000000"/>
                <w:spacing w:val="-2"/>
              </w:rPr>
              <w:t>z</w:t>
            </w:r>
            <w:r w:rsidR="00B05EE9" w:rsidRPr="00B05EE9">
              <w:rPr>
                <w:rFonts w:ascii="Times New Roman" w:hAnsi="Times New Roman"/>
                <w:color w:val="000000"/>
                <w:spacing w:val="-2"/>
              </w:rPr>
              <w:t>miana</w:t>
            </w:r>
            <w:r w:rsidR="00B05EE9">
              <w:rPr>
                <w:rFonts w:ascii="Times New Roman" w:hAnsi="Times New Roman"/>
                <w:color w:val="000000"/>
                <w:spacing w:val="-2"/>
              </w:rPr>
              <w:t xml:space="preserve"> wartości</w:t>
            </w:r>
            <w:r w:rsidR="00B05EE9" w:rsidRPr="00B05EE9">
              <w:rPr>
                <w:rFonts w:ascii="Times New Roman" w:hAnsi="Times New Roman"/>
                <w:color w:val="000000"/>
                <w:spacing w:val="-2"/>
              </w:rPr>
              <w:t xml:space="preserve"> parametru stałej przeniesienia </w:t>
            </w:r>
            <w:r w:rsidR="00B05EE9">
              <w:rPr>
                <w:rFonts w:ascii="Times New Roman" w:hAnsi="Times New Roman"/>
                <w:color w:val="000000"/>
                <w:spacing w:val="-2"/>
              </w:rPr>
              <w:t>(</w:t>
            </w:r>
            <w:r w:rsidR="00B05EE9" w:rsidRPr="00B05EE9">
              <w:rPr>
                <w:rFonts w:ascii="Times New Roman" w:hAnsi="Times New Roman"/>
                <w:i/>
                <w:iCs/>
                <w:color w:val="000000"/>
                <w:spacing w:val="-2"/>
              </w:rPr>
              <w:t>C</w:t>
            </w:r>
            <w:r w:rsidR="00B05EE9">
              <w:rPr>
                <w:rFonts w:ascii="Times New Roman" w:hAnsi="Times New Roman"/>
                <w:color w:val="000000"/>
                <w:spacing w:val="-2"/>
              </w:rPr>
              <w:t>)</w:t>
            </w:r>
            <w:r w:rsidR="00B05EE9" w:rsidRPr="00B05EE9">
              <w:rPr>
                <w:rFonts w:ascii="Times New Roman" w:hAnsi="Times New Roman"/>
                <w:color w:val="000000"/>
                <w:spacing w:val="-2"/>
              </w:rPr>
              <w:t>.</w:t>
            </w:r>
            <w:r w:rsidR="00B05EE9">
              <w:rPr>
                <w:rFonts w:ascii="Times New Roman" w:hAnsi="Times New Roman"/>
                <w:color w:val="000000"/>
                <w:spacing w:val="-2"/>
              </w:rPr>
              <w:t xml:space="preserve"> </w:t>
            </w:r>
            <w:r w:rsidR="00772F02" w:rsidRPr="00772F02">
              <w:rPr>
                <w:rFonts w:ascii="Times New Roman" w:hAnsi="Times New Roman"/>
                <w:color w:val="000000"/>
                <w:spacing w:val="-2"/>
              </w:rPr>
              <w:t>Zgodnie z obecnym brzmieniem rozporządzenia,</w:t>
            </w:r>
            <w:r w:rsidR="00772F02">
              <w:rPr>
                <w:rFonts w:ascii="Times New Roman" w:hAnsi="Times New Roman"/>
                <w:color w:val="000000"/>
                <w:spacing w:val="-2"/>
              </w:rPr>
              <w:t xml:space="preserve"> </w:t>
            </w:r>
            <w:r w:rsidR="00B05EE9" w:rsidRPr="00B05EE9">
              <w:rPr>
                <w:rFonts w:ascii="Times New Roman" w:hAnsi="Times New Roman"/>
                <w:color w:val="000000"/>
                <w:spacing w:val="-2"/>
              </w:rPr>
              <w:t xml:space="preserve">część zależna od subwencji z roku poprzedniego </w:t>
            </w:r>
            <w:r w:rsidR="00B05EE9">
              <w:rPr>
                <w:rFonts w:ascii="Times New Roman" w:hAnsi="Times New Roman"/>
                <w:color w:val="000000"/>
                <w:spacing w:val="-2"/>
              </w:rPr>
              <w:t>(</w:t>
            </w:r>
            <w:r w:rsidR="00B05EE9" w:rsidRPr="00B05EE9">
              <w:rPr>
                <w:rFonts w:ascii="Times New Roman" w:hAnsi="Times New Roman"/>
                <w:i/>
                <w:iCs/>
                <w:color w:val="000000"/>
                <w:spacing w:val="-2"/>
              </w:rPr>
              <w:t>C</w:t>
            </w:r>
            <w:r w:rsidR="00B05EE9">
              <w:rPr>
                <w:rFonts w:ascii="Times New Roman" w:hAnsi="Times New Roman"/>
                <w:color w:val="000000"/>
                <w:spacing w:val="-2"/>
              </w:rPr>
              <w:t>)</w:t>
            </w:r>
            <w:r w:rsidR="00772F02">
              <w:rPr>
                <w:rFonts w:ascii="Times New Roman" w:hAnsi="Times New Roman"/>
                <w:color w:val="000000"/>
                <w:spacing w:val="-2"/>
              </w:rPr>
              <w:t xml:space="preserve"> </w:t>
            </w:r>
            <w:r w:rsidR="00B05EE9" w:rsidRPr="00B05EE9">
              <w:rPr>
                <w:rFonts w:ascii="Times New Roman" w:hAnsi="Times New Roman"/>
                <w:color w:val="000000"/>
                <w:spacing w:val="-2"/>
              </w:rPr>
              <w:t xml:space="preserve">wynosi 0,4, natomiast pozostałe 0,6 jest zależne od bieżących wskaźników. </w:t>
            </w:r>
            <w:r w:rsidR="00772F02" w:rsidRPr="00772F02">
              <w:rPr>
                <w:rFonts w:ascii="Times New Roman" w:hAnsi="Times New Roman"/>
                <w:color w:val="000000"/>
                <w:spacing w:val="-2"/>
              </w:rPr>
              <w:t xml:space="preserve">Należy jednak wskazać, </w:t>
            </w:r>
            <w:r w:rsidR="00BA400A">
              <w:rPr>
                <w:rFonts w:ascii="Times New Roman" w:hAnsi="Times New Roman"/>
                <w:color w:val="000000"/>
                <w:spacing w:val="-2"/>
              </w:rPr>
              <w:t>że</w:t>
            </w:r>
            <w:r w:rsidR="00772F02" w:rsidRPr="00772F02">
              <w:rPr>
                <w:rFonts w:ascii="Times New Roman" w:hAnsi="Times New Roman"/>
                <w:color w:val="000000"/>
                <w:spacing w:val="-2"/>
              </w:rPr>
              <w:t xml:space="preserve"> </w:t>
            </w:r>
            <w:r w:rsidR="00B05EE9" w:rsidRPr="00B05EE9">
              <w:rPr>
                <w:rFonts w:ascii="Times New Roman" w:hAnsi="Times New Roman"/>
                <w:color w:val="000000"/>
                <w:spacing w:val="-2"/>
              </w:rPr>
              <w:t>subwencja jest podstawowym źródłem przychodów uczelni i</w:t>
            </w:r>
            <w:r w:rsidR="00772F02">
              <w:rPr>
                <w:rFonts w:ascii="Times New Roman" w:hAnsi="Times New Roman"/>
                <w:color w:val="000000"/>
                <w:spacing w:val="-2"/>
              </w:rPr>
              <w:t xml:space="preserve"> </w:t>
            </w:r>
            <w:r w:rsidR="00B05EE9" w:rsidRPr="00B05EE9">
              <w:rPr>
                <w:rFonts w:ascii="Times New Roman" w:hAnsi="Times New Roman"/>
                <w:color w:val="000000"/>
                <w:spacing w:val="-2"/>
              </w:rPr>
              <w:t xml:space="preserve">powinna być </w:t>
            </w:r>
            <w:r w:rsidR="00772F02">
              <w:rPr>
                <w:rFonts w:ascii="Times New Roman" w:hAnsi="Times New Roman"/>
                <w:color w:val="000000"/>
                <w:spacing w:val="-2"/>
              </w:rPr>
              <w:t>w mniejszym stopniu</w:t>
            </w:r>
            <w:r w:rsidR="00772F02" w:rsidRPr="00B05EE9">
              <w:rPr>
                <w:rFonts w:ascii="Times New Roman" w:hAnsi="Times New Roman"/>
                <w:color w:val="000000"/>
                <w:spacing w:val="-2"/>
              </w:rPr>
              <w:t xml:space="preserve"> </w:t>
            </w:r>
            <w:r w:rsidR="00B05EE9" w:rsidRPr="00B05EE9">
              <w:rPr>
                <w:rFonts w:ascii="Times New Roman" w:hAnsi="Times New Roman"/>
                <w:color w:val="000000"/>
                <w:spacing w:val="-2"/>
              </w:rPr>
              <w:t>zależna od jednorazowych zmian w poszczególnych parametrach. W związku z powyższym w nowelizowanym rozporządzeniu parametr stałej przeniesienia C ustala się na poziomie 0,7</w:t>
            </w:r>
            <w:r w:rsidR="00772F02">
              <w:rPr>
                <w:rFonts w:ascii="Times New Roman" w:hAnsi="Times New Roman"/>
                <w:color w:val="000000"/>
                <w:spacing w:val="-2"/>
              </w:rPr>
              <w:t>,</w:t>
            </w:r>
            <w:r w:rsidR="00B05EE9" w:rsidRPr="00B05EE9">
              <w:rPr>
                <w:rFonts w:ascii="Times New Roman" w:hAnsi="Times New Roman"/>
                <w:color w:val="000000"/>
                <w:spacing w:val="-2"/>
              </w:rPr>
              <w:t xml:space="preserve"> </w:t>
            </w:r>
            <w:r w:rsidR="00772F02">
              <w:rPr>
                <w:rFonts w:ascii="Times New Roman" w:hAnsi="Times New Roman"/>
                <w:color w:val="000000"/>
                <w:spacing w:val="-2"/>
              </w:rPr>
              <w:t>n</w:t>
            </w:r>
            <w:r w:rsidR="00B05EE9" w:rsidRPr="00B05EE9">
              <w:rPr>
                <w:rFonts w:ascii="Times New Roman" w:hAnsi="Times New Roman"/>
                <w:color w:val="000000"/>
                <w:spacing w:val="-2"/>
              </w:rPr>
              <w:t xml:space="preserve">atomiast część zależną od składników ilościowych i jakościowych na poziomie 0,3. Proponowana zmiana pozwoli na zmniejszenie zmienności kwot subwencji </w:t>
            </w:r>
            <w:r w:rsidR="005543B9">
              <w:rPr>
                <w:rFonts w:ascii="Times New Roman" w:hAnsi="Times New Roman"/>
                <w:color w:val="000000"/>
                <w:spacing w:val="-2"/>
              </w:rPr>
              <w:t>wyliczanej</w:t>
            </w:r>
            <w:r w:rsidR="005543B9" w:rsidRPr="00B05EE9">
              <w:rPr>
                <w:rFonts w:ascii="Times New Roman" w:hAnsi="Times New Roman"/>
                <w:color w:val="000000"/>
                <w:spacing w:val="-2"/>
              </w:rPr>
              <w:t xml:space="preserve"> </w:t>
            </w:r>
            <w:r w:rsidR="00B05EE9" w:rsidRPr="00B05EE9">
              <w:rPr>
                <w:rFonts w:ascii="Times New Roman" w:hAnsi="Times New Roman"/>
                <w:color w:val="000000"/>
                <w:spacing w:val="-2"/>
              </w:rPr>
              <w:t>algorytmicznie</w:t>
            </w:r>
            <w:r w:rsidR="005543B9">
              <w:rPr>
                <w:rFonts w:ascii="Times New Roman" w:hAnsi="Times New Roman"/>
                <w:color w:val="000000"/>
                <w:spacing w:val="-2"/>
              </w:rPr>
              <w:t xml:space="preserve"> w stosunku do wartości</w:t>
            </w:r>
            <w:r w:rsidR="00B05EE9" w:rsidRPr="00B05EE9">
              <w:rPr>
                <w:rFonts w:ascii="Times New Roman" w:hAnsi="Times New Roman"/>
                <w:color w:val="000000"/>
                <w:spacing w:val="-2"/>
              </w:rPr>
              <w:t xml:space="preserve"> subwencji z roku poprzedniego</w:t>
            </w:r>
            <w:r w:rsidR="005543B9">
              <w:rPr>
                <w:rFonts w:ascii="Times New Roman" w:hAnsi="Times New Roman"/>
                <w:color w:val="000000"/>
                <w:spacing w:val="-2"/>
              </w:rPr>
              <w:t>, przy zachowaniu porównywalnych warunków</w:t>
            </w:r>
            <w:r w:rsidR="00B05EE9" w:rsidRPr="00B05EE9">
              <w:rPr>
                <w:rFonts w:ascii="Times New Roman" w:hAnsi="Times New Roman"/>
                <w:color w:val="000000"/>
                <w:spacing w:val="-2"/>
              </w:rPr>
              <w:t>.</w:t>
            </w:r>
          </w:p>
        </w:tc>
      </w:tr>
      <w:tr w:rsidR="006A701A" w:rsidRPr="008B4FE6" w14:paraId="07A1B9A7" w14:textId="77777777" w:rsidTr="00676C8D">
        <w:trPr>
          <w:gridAfter w:val="1"/>
          <w:wAfter w:w="10" w:type="dxa"/>
          <w:trHeight w:val="307"/>
        </w:trPr>
        <w:tc>
          <w:tcPr>
            <w:tcW w:w="10937" w:type="dxa"/>
            <w:gridSpan w:val="29"/>
            <w:shd w:val="clear" w:color="auto" w:fill="99CCFF"/>
            <w:vAlign w:val="center"/>
          </w:tcPr>
          <w:p w14:paraId="1A353E3F" w14:textId="77777777"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40D64A04" w14:textId="77777777" w:rsidTr="00C54927">
        <w:trPr>
          <w:gridAfter w:val="1"/>
          <w:wAfter w:w="10" w:type="dxa"/>
          <w:trHeight w:val="241"/>
        </w:trPr>
        <w:tc>
          <w:tcPr>
            <w:tcW w:w="10937" w:type="dxa"/>
            <w:gridSpan w:val="29"/>
          </w:tcPr>
          <w:p w14:paraId="61276EE6" w14:textId="446F333E" w:rsidR="006A701A" w:rsidRPr="00B37C80" w:rsidRDefault="00B05EE9" w:rsidP="00B368CD">
            <w:pPr>
              <w:spacing w:after="120" w:line="240" w:lineRule="auto"/>
              <w:jc w:val="both"/>
              <w:rPr>
                <w:rFonts w:ascii="Times New Roman" w:hAnsi="Times New Roman"/>
                <w:color w:val="000000"/>
                <w:spacing w:val="-2"/>
              </w:rPr>
            </w:pPr>
            <w:r w:rsidRPr="00B05EE9">
              <w:rPr>
                <w:rFonts w:ascii="Times New Roman" w:hAnsi="Times New Roman"/>
                <w:color w:val="000000"/>
                <w:spacing w:val="-2"/>
              </w:rPr>
              <w:t>Brak dany</w:t>
            </w:r>
            <w:r>
              <w:rPr>
                <w:rFonts w:ascii="Times New Roman" w:hAnsi="Times New Roman"/>
                <w:color w:val="000000"/>
                <w:spacing w:val="-2"/>
              </w:rPr>
              <w:t>c</w:t>
            </w:r>
            <w:r w:rsidRPr="00B05EE9">
              <w:rPr>
                <w:rFonts w:ascii="Times New Roman" w:hAnsi="Times New Roman"/>
                <w:color w:val="000000"/>
                <w:spacing w:val="-2"/>
              </w:rPr>
              <w:t>h.</w:t>
            </w:r>
          </w:p>
        </w:tc>
      </w:tr>
      <w:tr w:rsidR="006A701A" w:rsidRPr="008B4FE6" w14:paraId="41C3A659" w14:textId="77777777" w:rsidTr="00676C8D">
        <w:trPr>
          <w:gridAfter w:val="1"/>
          <w:wAfter w:w="10" w:type="dxa"/>
          <w:trHeight w:val="359"/>
        </w:trPr>
        <w:tc>
          <w:tcPr>
            <w:tcW w:w="10937" w:type="dxa"/>
            <w:gridSpan w:val="29"/>
            <w:shd w:val="clear" w:color="auto" w:fill="99CCFF"/>
            <w:vAlign w:val="center"/>
          </w:tcPr>
          <w:p w14:paraId="77E25AD5" w14:textId="77777777"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14:paraId="6E30D7FF" w14:textId="77777777" w:rsidTr="00A37BB7">
        <w:trPr>
          <w:gridAfter w:val="1"/>
          <w:wAfter w:w="10" w:type="dxa"/>
          <w:trHeight w:val="142"/>
        </w:trPr>
        <w:tc>
          <w:tcPr>
            <w:tcW w:w="2978" w:type="dxa"/>
            <w:gridSpan w:val="3"/>
          </w:tcPr>
          <w:p w14:paraId="09D17FAC"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1982" w:type="dxa"/>
            <w:gridSpan w:val="8"/>
          </w:tcPr>
          <w:p w14:paraId="451BAD12"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tcPr>
          <w:p w14:paraId="51CB5F3C"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6"/>
          </w:tcPr>
          <w:p w14:paraId="02115685"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A37BB7" w:rsidRPr="008B4FE6" w14:paraId="7A33881E" w14:textId="77777777" w:rsidTr="00A37BB7">
        <w:trPr>
          <w:gridAfter w:val="1"/>
          <w:wAfter w:w="10" w:type="dxa"/>
          <w:trHeight w:val="142"/>
        </w:trPr>
        <w:tc>
          <w:tcPr>
            <w:tcW w:w="2978" w:type="dxa"/>
            <w:gridSpan w:val="3"/>
          </w:tcPr>
          <w:p w14:paraId="62DB4DDE" w14:textId="30DD9B6D" w:rsidR="00A37BB7" w:rsidRPr="008B4FE6" w:rsidRDefault="00136D33" w:rsidP="00A37BB7">
            <w:pPr>
              <w:spacing w:line="240" w:lineRule="auto"/>
              <w:rPr>
                <w:rFonts w:ascii="Times New Roman" w:hAnsi="Times New Roman"/>
                <w:color w:val="000000"/>
                <w:spacing w:val="-2"/>
              </w:rPr>
            </w:pPr>
            <w:r>
              <w:rPr>
                <w:rFonts w:ascii="Times New Roman" w:hAnsi="Times New Roman"/>
                <w:color w:val="000000"/>
              </w:rPr>
              <w:t>u</w:t>
            </w:r>
            <w:r w:rsidR="00B05EE9">
              <w:rPr>
                <w:rFonts w:ascii="Times New Roman" w:hAnsi="Times New Roman"/>
                <w:color w:val="000000"/>
              </w:rPr>
              <w:t>czelnie medyczne</w:t>
            </w:r>
            <w:r w:rsidR="00E8062C">
              <w:rPr>
                <w:rFonts w:ascii="Times New Roman" w:hAnsi="Times New Roman"/>
                <w:color w:val="000000"/>
              </w:rPr>
              <w:t xml:space="preserve"> nadzorowane przez ministra właściwego do spraw zdrowia</w:t>
            </w:r>
          </w:p>
        </w:tc>
        <w:tc>
          <w:tcPr>
            <w:tcW w:w="1982" w:type="dxa"/>
            <w:gridSpan w:val="8"/>
          </w:tcPr>
          <w:p w14:paraId="124734B6" w14:textId="12297F4F" w:rsidR="00A37BB7" w:rsidRPr="00B37C80" w:rsidRDefault="00B05EE9" w:rsidP="00B368CD">
            <w:pPr>
              <w:spacing w:line="240" w:lineRule="auto"/>
              <w:jc w:val="center"/>
              <w:rPr>
                <w:rFonts w:ascii="Times New Roman" w:hAnsi="Times New Roman"/>
                <w:color w:val="000000"/>
                <w:spacing w:val="-2"/>
              </w:rPr>
            </w:pPr>
            <w:r>
              <w:rPr>
                <w:rFonts w:ascii="Times New Roman" w:hAnsi="Times New Roman"/>
                <w:spacing w:val="-2"/>
              </w:rPr>
              <w:t>9</w:t>
            </w:r>
          </w:p>
        </w:tc>
        <w:tc>
          <w:tcPr>
            <w:tcW w:w="2996" w:type="dxa"/>
            <w:gridSpan w:val="12"/>
          </w:tcPr>
          <w:p w14:paraId="50BDF5A5" w14:textId="786085E1" w:rsidR="00A37BB7" w:rsidRPr="00B37C80" w:rsidRDefault="00E8062C" w:rsidP="00B368CD">
            <w:pPr>
              <w:spacing w:line="240" w:lineRule="auto"/>
              <w:jc w:val="center"/>
              <w:rPr>
                <w:rFonts w:ascii="Times New Roman" w:hAnsi="Times New Roman"/>
                <w:color w:val="000000"/>
                <w:spacing w:val="-2"/>
              </w:rPr>
            </w:pPr>
            <w:r>
              <w:rPr>
                <w:rFonts w:ascii="Times New Roman" w:hAnsi="Times New Roman"/>
              </w:rPr>
              <w:t>d</w:t>
            </w:r>
            <w:r w:rsidR="00A37BB7">
              <w:rPr>
                <w:rFonts w:ascii="Times New Roman" w:hAnsi="Times New Roman"/>
              </w:rPr>
              <w:t>ane własne</w:t>
            </w:r>
            <w:r w:rsidR="00B05EE9">
              <w:rPr>
                <w:rFonts w:ascii="Times New Roman" w:hAnsi="Times New Roman"/>
              </w:rPr>
              <w:t xml:space="preserve"> </w:t>
            </w:r>
          </w:p>
        </w:tc>
        <w:tc>
          <w:tcPr>
            <w:tcW w:w="2981" w:type="dxa"/>
            <w:gridSpan w:val="6"/>
          </w:tcPr>
          <w:p w14:paraId="22859861" w14:textId="28216C64" w:rsidR="00A37BB7" w:rsidRPr="00B37C80" w:rsidRDefault="00136D33" w:rsidP="00A37BB7">
            <w:pPr>
              <w:spacing w:line="240" w:lineRule="auto"/>
              <w:rPr>
                <w:rFonts w:ascii="Times New Roman" w:hAnsi="Times New Roman"/>
                <w:color w:val="000000"/>
                <w:spacing w:val="-2"/>
              </w:rPr>
            </w:pPr>
            <w:r>
              <w:rPr>
                <w:rFonts w:ascii="Times New Roman" w:hAnsi="Times New Roman"/>
              </w:rPr>
              <w:t>w</w:t>
            </w:r>
            <w:r w:rsidR="00B05EE9">
              <w:rPr>
                <w:rFonts w:ascii="Times New Roman" w:hAnsi="Times New Roman"/>
              </w:rPr>
              <w:t xml:space="preserve">pływ na </w:t>
            </w:r>
            <w:r w:rsidR="00B05EE9" w:rsidRPr="00B05EE9">
              <w:rPr>
                <w:rFonts w:ascii="Times New Roman" w:hAnsi="Times New Roman"/>
              </w:rPr>
              <w:t xml:space="preserve">wysokości subwencji ze środków finansowych na utrzymanie i rozwój potencjału dydaktycznego lub utrzymanie i rozwój potencjału badawczego </w:t>
            </w:r>
            <w:r w:rsidR="00B05EE9">
              <w:rPr>
                <w:rFonts w:ascii="Times New Roman" w:hAnsi="Times New Roman"/>
              </w:rPr>
              <w:t>określanej dla uczelni medycznych</w:t>
            </w:r>
          </w:p>
        </w:tc>
      </w:tr>
      <w:tr w:rsidR="00A37BB7" w:rsidRPr="008B4FE6" w14:paraId="56D96764" w14:textId="77777777" w:rsidTr="00A37BB7">
        <w:trPr>
          <w:gridAfter w:val="1"/>
          <w:wAfter w:w="10" w:type="dxa"/>
          <w:trHeight w:val="142"/>
        </w:trPr>
        <w:tc>
          <w:tcPr>
            <w:tcW w:w="2978" w:type="dxa"/>
            <w:gridSpan w:val="3"/>
          </w:tcPr>
          <w:p w14:paraId="25F9E0A9" w14:textId="5A2F12D3" w:rsidR="00A37BB7" w:rsidRPr="008B4FE6" w:rsidRDefault="00136D33" w:rsidP="00A37BB7">
            <w:pPr>
              <w:spacing w:line="240" w:lineRule="auto"/>
              <w:rPr>
                <w:rFonts w:ascii="Times New Roman" w:hAnsi="Times New Roman"/>
                <w:color w:val="000000"/>
                <w:spacing w:val="-2"/>
              </w:rPr>
            </w:pPr>
            <w:r>
              <w:rPr>
                <w:rFonts w:ascii="Times New Roman" w:eastAsia="Times New Roman" w:hAnsi="Times New Roman"/>
              </w:rPr>
              <w:t>m</w:t>
            </w:r>
            <w:r w:rsidR="00B05EE9">
              <w:rPr>
                <w:rFonts w:ascii="Times New Roman" w:eastAsia="Times New Roman" w:hAnsi="Times New Roman"/>
              </w:rPr>
              <w:t>inister właściwy do spraw zdrowia</w:t>
            </w:r>
            <w:r w:rsidR="00A37BB7">
              <w:rPr>
                <w:rFonts w:ascii="Times New Roman" w:eastAsia="Times New Roman" w:hAnsi="Times New Roman"/>
              </w:rPr>
              <w:t xml:space="preserve"> </w:t>
            </w:r>
          </w:p>
        </w:tc>
        <w:tc>
          <w:tcPr>
            <w:tcW w:w="1982" w:type="dxa"/>
            <w:gridSpan w:val="8"/>
          </w:tcPr>
          <w:p w14:paraId="7E2C6D50" w14:textId="77777777" w:rsidR="00A37BB7" w:rsidRPr="00B37C80" w:rsidRDefault="00A37BB7" w:rsidP="00B368CD">
            <w:pPr>
              <w:spacing w:line="240" w:lineRule="auto"/>
              <w:jc w:val="center"/>
              <w:rPr>
                <w:rFonts w:ascii="Times New Roman" w:hAnsi="Times New Roman"/>
                <w:color w:val="000000"/>
                <w:spacing w:val="-2"/>
              </w:rPr>
            </w:pPr>
            <w:r>
              <w:rPr>
                <w:rFonts w:ascii="Times New Roman" w:hAnsi="Times New Roman"/>
                <w:spacing w:val="-2"/>
              </w:rPr>
              <w:t>1</w:t>
            </w:r>
          </w:p>
        </w:tc>
        <w:tc>
          <w:tcPr>
            <w:tcW w:w="2996" w:type="dxa"/>
            <w:gridSpan w:val="12"/>
          </w:tcPr>
          <w:p w14:paraId="096A7F91" w14:textId="7B7AEDBC" w:rsidR="00A37BB7" w:rsidRPr="00B37C80" w:rsidRDefault="00E8062C" w:rsidP="00B368CD">
            <w:pPr>
              <w:spacing w:line="240" w:lineRule="auto"/>
              <w:jc w:val="center"/>
              <w:rPr>
                <w:rFonts w:ascii="Times New Roman" w:hAnsi="Times New Roman"/>
                <w:color w:val="000000"/>
                <w:spacing w:val="-2"/>
              </w:rPr>
            </w:pPr>
            <w:r>
              <w:rPr>
                <w:rFonts w:ascii="Times New Roman" w:hAnsi="Times New Roman"/>
                <w:color w:val="000000"/>
                <w:spacing w:val="-2"/>
              </w:rPr>
              <w:t>dana powszechnie znana</w:t>
            </w:r>
          </w:p>
        </w:tc>
        <w:tc>
          <w:tcPr>
            <w:tcW w:w="2981" w:type="dxa"/>
            <w:gridSpan w:val="6"/>
          </w:tcPr>
          <w:p w14:paraId="55AC878F" w14:textId="7E66EAA2" w:rsidR="00A37BB7" w:rsidRPr="00B37C80" w:rsidRDefault="00B551AD" w:rsidP="00A37BB7">
            <w:pPr>
              <w:spacing w:line="240" w:lineRule="auto"/>
              <w:rPr>
                <w:rFonts w:ascii="Times New Roman" w:hAnsi="Times New Roman"/>
                <w:color w:val="000000"/>
                <w:spacing w:val="-2"/>
              </w:rPr>
            </w:pPr>
            <w:r>
              <w:rPr>
                <w:rFonts w:ascii="Times New Roman" w:hAnsi="Times New Roman"/>
              </w:rPr>
              <w:t>u</w:t>
            </w:r>
            <w:r w:rsidR="00B05EE9" w:rsidRPr="00B05EE9">
              <w:rPr>
                <w:rFonts w:ascii="Times New Roman" w:hAnsi="Times New Roman"/>
              </w:rPr>
              <w:t>stalanie wysokości subwencji ze środków finansowych na utrzymanie i rozwój potencjału dydaktycznego oraz potencjału badawczego</w:t>
            </w:r>
          </w:p>
        </w:tc>
      </w:tr>
      <w:tr w:rsidR="006A701A" w:rsidRPr="008B4FE6" w14:paraId="24EF6F69" w14:textId="77777777" w:rsidTr="00676C8D">
        <w:trPr>
          <w:gridAfter w:val="1"/>
          <w:wAfter w:w="10" w:type="dxa"/>
          <w:trHeight w:val="302"/>
        </w:trPr>
        <w:tc>
          <w:tcPr>
            <w:tcW w:w="10937" w:type="dxa"/>
            <w:gridSpan w:val="29"/>
            <w:shd w:val="clear" w:color="auto" w:fill="99CCFF"/>
            <w:vAlign w:val="center"/>
          </w:tcPr>
          <w:p w14:paraId="6D605D7D" w14:textId="77777777"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14:paraId="6DF47836" w14:textId="77777777" w:rsidTr="00676C8D">
        <w:trPr>
          <w:gridAfter w:val="1"/>
          <w:wAfter w:w="10" w:type="dxa"/>
          <w:trHeight w:val="342"/>
        </w:trPr>
        <w:tc>
          <w:tcPr>
            <w:tcW w:w="10937" w:type="dxa"/>
            <w:gridSpan w:val="29"/>
            <w:shd w:val="clear" w:color="auto" w:fill="FFFFFF"/>
          </w:tcPr>
          <w:p w14:paraId="1091D14F" w14:textId="4AE8EB6E" w:rsidR="00A37BB7" w:rsidRDefault="00A37BB7" w:rsidP="00A37BB7">
            <w:pPr>
              <w:spacing w:before="120" w:line="240" w:lineRule="auto"/>
              <w:jc w:val="both"/>
              <w:rPr>
                <w:rFonts w:ascii="Times New Roman" w:eastAsia="Times New Roman" w:hAnsi="Times New Roman"/>
              </w:rPr>
            </w:pPr>
            <w:r>
              <w:rPr>
                <w:rFonts w:ascii="Times New Roman" w:eastAsia="Times New Roman" w:hAnsi="Times New Roman"/>
              </w:rPr>
              <w:t>P</w:t>
            </w:r>
            <w:r w:rsidRPr="005E1FE7">
              <w:rPr>
                <w:rFonts w:ascii="Times New Roman" w:eastAsia="Times New Roman" w:hAnsi="Times New Roman"/>
              </w:rPr>
              <w:t>rojekt rozporządzenia nie był</w:t>
            </w:r>
            <w:r>
              <w:rPr>
                <w:rFonts w:ascii="Times New Roman" w:eastAsia="Times New Roman" w:hAnsi="Times New Roman"/>
              </w:rPr>
              <w:t xml:space="preserve"> przedmiotem</w:t>
            </w:r>
            <w:r w:rsidRPr="005E1FE7">
              <w:rPr>
                <w:rFonts w:ascii="Times New Roman" w:eastAsia="Times New Roman" w:hAnsi="Times New Roman"/>
              </w:rPr>
              <w:t xml:space="preserve"> tzw. pre</w:t>
            </w:r>
            <w:r w:rsidR="00E8062C">
              <w:rPr>
                <w:rFonts w:ascii="Times New Roman" w:eastAsia="Times New Roman" w:hAnsi="Times New Roman"/>
              </w:rPr>
              <w:t>-</w:t>
            </w:r>
            <w:r w:rsidRPr="005E1FE7">
              <w:rPr>
                <w:rFonts w:ascii="Times New Roman" w:eastAsia="Times New Roman" w:hAnsi="Times New Roman"/>
              </w:rPr>
              <w:t>konsultacj</w:t>
            </w:r>
            <w:r>
              <w:rPr>
                <w:rFonts w:ascii="Times New Roman" w:eastAsia="Times New Roman" w:hAnsi="Times New Roman"/>
              </w:rPr>
              <w:t>i</w:t>
            </w:r>
            <w:r w:rsidRPr="005E1FE7">
              <w:rPr>
                <w:rFonts w:ascii="Times New Roman" w:eastAsia="Times New Roman" w:hAnsi="Times New Roman"/>
              </w:rPr>
              <w:t>.</w:t>
            </w:r>
            <w:r>
              <w:rPr>
                <w:rFonts w:ascii="Times New Roman" w:eastAsia="Times New Roman" w:hAnsi="Times New Roman"/>
              </w:rPr>
              <w:t xml:space="preserve"> </w:t>
            </w:r>
          </w:p>
          <w:p w14:paraId="45178616" w14:textId="6AAC182F" w:rsidR="00A37BB7" w:rsidRPr="00DD07CB" w:rsidRDefault="00A37BB7" w:rsidP="00A37BB7">
            <w:pPr>
              <w:spacing w:line="240" w:lineRule="auto"/>
              <w:jc w:val="both"/>
              <w:rPr>
                <w:rFonts w:ascii="Times New Roman" w:hAnsi="Times New Roman"/>
                <w:color w:val="000000"/>
                <w:spacing w:val="-2"/>
              </w:rPr>
            </w:pPr>
            <w:r>
              <w:rPr>
                <w:rFonts w:ascii="Times New Roman" w:hAnsi="Times New Roman"/>
                <w:color w:val="000000"/>
                <w:spacing w:val="-2"/>
              </w:rPr>
              <w:t xml:space="preserve">Projekt rozporządzenia zostanie przekazany do konsultacji publicznych i opiniowania, na okres </w:t>
            </w:r>
            <w:r w:rsidR="00EE0DD8">
              <w:rPr>
                <w:rFonts w:ascii="Times New Roman" w:hAnsi="Times New Roman"/>
                <w:color w:val="000000"/>
                <w:spacing w:val="-2"/>
              </w:rPr>
              <w:t xml:space="preserve">30 </w:t>
            </w:r>
            <w:r>
              <w:rPr>
                <w:rFonts w:ascii="Times New Roman" w:hAnsi="Times New Roman"/>
                <w:color w:val="000000"/>
                <w:spacing w:val="-2"/>
              </w:rPr>
              <w:t>dni, następującym podmiotom:</w:t>
            </w:r>
          </w:p>
          <w:p w14:paraId="21FFAEBB" w14:textId="77777777" w:rsidR="00B05EE9"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Konferencja Rektorów Akademickich Szkół Polskich; </w:t>
            </w:r>
          </w:p>
          <w:p w14:paraId="1961D9F6" w14:textId="77777777" w:rsidR="00B05EE9"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Rada Główna Nauki i Szkolnictwa Wyższego;</w:t>
            </w:r>
          </w:p>
          <w:p w14:paraId="2E876874" w14:textId="77777777" w:rsidR="00B05EE9"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Rada Doskonałości Naukowej; </w:t>
            </w:r>
          </w:p>
          <w:p w14:paraId="22940D04" w14:textId="77777777" w:rsidR="00B05EE9"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Komitet Polityki Naukowej; </w:t>
            </w:r>
          </w:p>
          <w:p w14:paraId="45A65978" w14:textId="77777777" w:rsidR="00B05EE9"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Parlament Studentów Rzeczypospolitej Polskiej; </w:t>
            </w:r>
          </w:p>
          <w:p w14:paraId="7FEDCDD5" w14:textId="77777777"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Krajowa Reprezentacja Doktorantów; </w:t>
            </w:r>
          </w:p>
          <w:p w14:paraId="3B2DDBAC" w14:textId="77777777"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Polska Akademia Nauk; </w:t>
            </w:r>
          </w:p>
          <w:p w14:paraId="227F049B" w14:textId="0D84093B"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NSZZ „Solidarność”;</w:t>
            </w:r>
          </w:p>
          <w:p w14:paraId="73EB8283" w14:textId="16A8BD6C" w:rsidR="007F0EC5" w:rsidRDefault="007F0EC5" w:rsidP="00A37BB7">
            <w:pPr>
              <w:numPr>
                <w:ilvl w:val="0"/>
                <w:numId w:val="25"/>
              </w:numPr>
              <w:spacing w:line="240" w:lineRule="auto"/>
              <w:ind w:left="360"/>
              <w:jc w:val="both"/>
              <w:rPr>
                <w:rFonts w:ascii="Times New Roman" w:hAnsi="Times New Roman"/>
              </w:rPr>
            </w:pPr>
            <w:r w:rsidRPr="007F0EC5">
              <w:rPr>
                <w:rFonts w:ascii="Times New Roman" w:hAnsi="Times New Roman"/>
              </w:rPr>
              <w:lastRenderedPageBreak/>
              <w:t>NSZZ „Solidarność-80”;</w:t>
            </w:r>
          </w:p>
          <w:p w14:paraId="59F9767C" w14:textId="77777777"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Ogólnopolskie Porozumienie Związków Zawodowych; </w:t>
            </w:r>
          </w:p>
          <w:p w14:paraId="6632F4E0" w14:textId="77777777"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Forum Związków Zawodowych; </w:t>
            </w:r>
          </w:p>
          <w:p w14:paraId="2675CC01" w14:textId="77777777"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Konfederacja „Lewiatan”; </w:t>
            </w:r>
          </w:p>
          <w:p w14:paraId="485C95C2" w14:textId="77777777"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Pracodawcy Rzeczypospolitej Polskiej; </w:t>
            </w:r>
          </w:p>
          <w:p w14:paraId="12BF0297" w14:textId="77777777"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Związek Rzemiosła Polskiego; </w:t>
            </w:r>
          </w:p>
          <w:p w14:paraId="0B9F3835" w14:textId="77777777"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Związek Przedsiębiorców i Pracodawców; </w:t>
            </w:r>
          </w:p>
          <w:p w14:paraId="55712E09" w14:textId="77777777" w:rsidR="00235C4D"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 xml:space="preserve">Federacja Przedsiębiorców Polskich; </w:t>
            </w:r>
          </w:p>
          <w:p w14:paraId="0DED2318" w14:textId="6277A5B5" w:rsidR="00B05EE9" w:rsidRDefault="00B05EE9" w:rsidP="00A37BB7">
            <w:pPr>
              <w:numPr>
                <w:ilvl w:val="0"/>
                <w:numId w:val="25"/>
              </w:numPr>
              <w:spacing w:line="240" w:lineRule="auto"/>
              <w:ind w:left="360"/>
              <w:jc w:val="both"/>
              <w:rPr>
                <w:rFonts w:ascii="Times New Roman" w:hAnsi="Times New Roman"/>
              </w:rPr>
            </w:pPr>
            <w:r w:rsidRPr="00B05EE9">
              <w:rPr>
                <w:rFonts w:ascii="Times New Roman" w:hAnsi="Times New Roman"/>
              </w:rPr>
              <w:t>Polskie Towarzystwo Gospodarcze</w:t>
            </w:r>
            <w:r w:rsidR="007F0EC5">
              <w:rPr>
                <w:rFonts w:ascii="Times New Roman" w:hAnsi="Times New Roman"/>
              </w:rPr>
              <w:t>;</w:t>
            </w:r>
          </w:p>
          <w:p w14:paraId="01893613" w14:textId="6B7B4DB0" w:rsidR="00A37BB7" w:rsidRDefault="00A37BB7" w:rsidP="00A37BB7">
            <w:pPr>
              <w:numPr>
                <w:ilvl w:val="0"/>
                <w:numId w:val="25"/>
              </w:numPr>
              <w:spacing w:line="240" w:lineRule="auto"/>
              <w:ind w:left="360"/>
              <w:jc w:val="both"/>
              <w:rPr>
                <w:rFonts w:ascii="Times New Roman" w:hAnsi="Times New Roman"/>
              </w:rPr>
            </w:pPr>
            <w:r w:rsidRPr="00CD6F8C">
              <w:rPr>
                <w:rFonts w:ascii="Times New Roman" w:hAnsi="Times New Roman"/>
              </w:rPr>
              <w:t>Rad</w:t>
            </w:r>
            <w:r w:rsidR="00E8062C">
              <w:rPr>
                <w:rFonts w:ascii="Times New Roman" w:hAnsi="Times New Roman"/>
              </w:rPr>
              <w:t>a</w:t>
            </w:r>
            <w:r w:rsidRPr="00CD6F8C">
              <w:rPr>
                <w:rFonts w:ascii="Times New Roman" w:hAnsi="Times New Roman"/>
              </w:rPr>
              <w:t xml:space="preserve"> Dialogu Społecznego;</w:t>
            </w:r>
          </w:p>
          <w:p w14:paraId="07EC23CA" w14:textId="51EF1EDA" w:rsidR="00A37BB7" w:rsidRDefault="00A37BB7" w:rsidP="00A37BB7">
            <w:pPr>
              <w:numPr>
                <w:ilvl w:val="0"/>
                <w:numId w:val="25"/>
              </w:numPr>
              <w:spacing w:line="240" w:lineRule="auto"/>
              <w:ind w:left="360"/>
              <w:jc w:val="both"/>
              <w:rPr>
                <w:rFonts w:ascii="Times New Roman" w:hAnsi="Times New Roman"/>
              </w:rPr>
            </w:pPr>
            <w:r w:rsidRPr="00CD6F8C">
              <w:rPr>
                <w:rFonts w:ascii="Times New Roman" w:hAnsi="Times New Roman"/>
              </w:rPr>
              <w:t>Związ</w:t>
            </w:r>
            <w:r w:rsidR="00E8062C">
              <w:rPr>
                <w:rFonts w:ascii="Times New Roman" w:hAnsi="Times New Roman"/>
              </w:rPr>
              <w:t xml:space="preserve">ek </w:t>
            </w:r>
            <w:r w:rsidRPr="00CD6F8C">
              <w:rPr>
                <w:rFonts w:ascii="Times New Roman" w:hAnsi="Times New Roman"/>
              </w:rPr>
              <w:t>Pracodawców – Business Centre Club;</w:t>
            </w:r>
          </w:p>
          <w:p w14:paraId="585681CC" w14:textId="388DB75A" w:rsidR="00A37BB7" w:rsidRDefault="00A37BB7" w:rsidP="00A37BB7">
            <w:pPr>
              <w:numPr>
                <w:ilvl w:val="0"/>
                <w:numId w:val="25"/>
              </w:numPr>
              <w:spacing w:line="240" w:lineRule="auto"/>
              <w:ind w:left="360"/>
              <w:jc w:val="both"/>
              <w:rPr>
                <w:rFonts w:ascii="Times New Roman" w:hAnsi="Times New Roman"/>
              </w:rPr>
            </w:pPr>
            <w:r w:rsidRPr="00CD6F8C">
              <w:rPr>
                <w:rFonts w:ascii="Times New Roman" w:hAnsi="Times New Roman"/>
              </w:rPr>
              <w:t>Porozumien</w:t>
            </w:r>
            <w:r w:rsidR="00E8062C">
              <w:rPr>
                <w:rFonts w:ascii="Times New Roman" w:hAnsi="Times New Roman"/>
              </w:rPr>
              <w:t>ie</w:t>
            </w:r>
            <w:r w:rsidRPr="00CD6F8C">
              <w:rPr>
                <w:rFonts w:ascii="Times New Roman" w:hAnsi="Times New Roman"/>
              </w:rPr>
              <w:t xml:space="preserve"> Pracodawców Ochrony Zdrowia;</w:t>
            </w:r>
          </w:p>
          <w:p w14:paraId="09BE64A3" w14:textId="323364DD" w:rsidR="00A37BB7" w:rsidRDefault="00A37BB7" w:rsidP="00A37BB7">
            <w:pPr>
              <w:numPr>
                <w:ilvl w:val="0"/>
                <w:numId w:val="25"/>
              </w:numPr>
              <w:spacing w:line="240" w:lineRule="auto"/>
              <w:ind w:left="360"/>
              <w:jc w:val="both"/>
              <w:rPr>
                <w:rFonts w:ascii="Times New Roman" w:hAnsi="Times New Roman"/>
              </w:rPr>
            </w:pPr>
            <w:r w:rsidRPr="00CD6F8C">
              <w:rPr>
                <w:rFonts w:ascii="Times New Roman" w:hAnsi="Times New Roman"/>
              </w:rPr>
              <w:t>Porozumieni</w:t>
            </w:r>
            <w:r w:rsidR="00E8062C">
              <w:rPr>
                <w:rFonts w:ascii="Times New Roman" w:hAnsi="Times New Roman"/>
              </w:rPr>
              <w:t>e</w:t>
            </w:r>
            <w:r w:rsidRPr="00CD6F8C">
              <w:rPr>
                <w:rFonts w:ascii="Times New Roman" w:hAnsi="Times New Roman"/>
              </w:rPr>
              <w:t xml:space="preserve"> Pracodawców Służby Zdrowia;</w:t>
            </w:r>
          </w:p>
          <w:p w14:paraId="68278433" w14:textId="2A4DFB9B" w:rsidR="00A37BB7" w:rsidRDefault="00A37BB7" w:rsidP="00A37BB7">
            <w:pPr>
              <w:numPr>
                <w:ilvl w:val="0"/>
                <w:numId w:val="25"/>
              </w:numPr>
              <w:spacing w:line="240" w:lineRule="auto"/>
              <w:ind w:left="360"/>
              <w:jc w:val="both"/>
              <w:rPr>
                <w:rFonts w:ascii="Times New Roman" w:hAnsi="Times New Roman"/>
              </w:rPr>
            </w:pPr>
            <w:r w:rsidRPr="00CD6F8C">
              <w:rPr>
                <w:rFonts w:ascii="Times New Roman" w:hAnsi="Times New Roman"/>
              </w:rPr>
              <w:t>Federacj</w:t>
            </w:r>
            <w:r w:rsidR="00E8062C">
              <w:rPr>
                <w:rFonts w:ascii="Times New Roman" w:hAnsi="Times New Roman"/>
              </w:rPr>
              <w:t>a</w:t>
            </w:r>
            <w:r w:rsidRPr="00CD6F8C">
              <w:rPr>
                <w:rFonts w:ascii="Times New Roman" w:hAnsi="Times New Roman"/>
              </w:rPr>
              <w:t xml:space="preserve"> Związków Pracodawców Ochrony Zdrowia „Porozumienie Zielonogórskie”</w:t>
            </w:r>
            <w:r w:rsidR="00E8062C">
              <w:rPr>
                <w:rFonts w:ascii="Times New Roman" w:hAnsi="Times New Roman"/>
              </w:rPr>
              <w:t>;</w:t>
            </w:r>
          </w:p>
          <w:p w14:paraId="1AF38B29" w14:textId="77777777" w:rsidR="00235C4D" w:rsidRPr="00235C4D" w:rsidRDefault="00235C4D" w:rsidP="00235C4D">
            <w:pPr>
              <w:numPr>
                <w:ilvl w:val="0"/>
                <w:numId w:val="25"/>
              </w:numPr>
              <w:spacing w:line="240" w:lineRule="auto"/>
              <w:ind w:left="360"/>
              <w:jc w:val="both"/>
              <w:rPr>
                <w:rFonts w:ascii="Times New Roman" w:hAnsi="Times New Roman"/>
              </w:rPr>
            </w:pPr>
            <w:r w:rsidRPr="00235C4D">
              <w:rPr>
                <w:rFonts w:ascii="Times New Roman" w:hAnsi="Times New Roman"/>
              </w:rPr>
              <w:t>Gdański Uniwersytet Medyczny</w:t>
            </w:r>
          </w:p>
          <w:p w14:paraId="0C2E60F7" w14:textId="1F6BECC3" w:rsidR="00235C4D" w:rsidRPr="00235C4D" w:rsidRDefault="00235C4D" w:rsidP="00235C4D">
            <w:pPr>
              <w:numPr>
                <w:ilvl w:val="0"/>
                <w:numId w:val="25"/>
              </w:numPr>
              <w:spacing w:line="240" w:lineRule="auto"/>
              <w:ind w:left="360"/>
              <w:jc w:val="both"/>
              <w:rPr>
                <w:rFonts w:ascii="Times New Roman" w:hAnsi="Times New Roman"/>
              </w:rPr>
            </w:pPr>
            <w:r w:rsidRPr="00235C4D">
              <w:rPr>
                <w:rFonts w:ascii="Times New Roman" w:hAnsi="Times New Roman"/>
              </w:rPr>
              <w:t>Pomorski Uniwersytet Medyczny w Szczecinie</w:t>
            </w:r>
            <w:r w:rsidR="00E8062C">
              <w:rPr>
                <w:rFonts w:ascii="Times New Roman" w:hAnsi="Times New Roman"/>
              </w:rPr>
              <w:t>;</w:t>
            </w:r>
          </w:p>
          <w:p w14:paraId="6A4A98A1" w14:textId="12CB0395" w:rsidR="00235C4D" w:rsidRPr="00235C4D" w:rsidRDefault="00235C4D" w:rsidP="00235C4D">
            <w:pPr>
              <w:numPr>
                <w:ilvl w:val="0"/>
                <w:numId w:val="25"/>
              </w:numPr>
              <w:spacing w:line="240" w:lineRule="auto"/>
              <w:ind w:left="360"/>
              <w:jc w:val="both"/>
              <w:rPr>
                <w:rFonts w:ascii="Times New Roman" w:hAnsi="Times New Roman"/>
              </w:rPr>
            </w:pPr>
            <w:r w:rsidRPr="00235C4D">
              <w:rPr>
                <w:rFonts w:ascii="Times New Roman" w:hAnsi="Times New Roman"/>
              </w:rPr>
              <w:t>Śląski Uniwersytet Medyczny w Katowicach</w:t>
            </w:r>
            <w:r w:rsidR="00E8062C">
              <w:rPr>
                <w:rFonts w:ascii="Times New Roman" w:hAnsi="Times New Roman"/>
              </w:rPr>
              <w:t>;</w:t>
            </w:r>
          </w:p>
          <w:p w14:paraId="4ACE3B78" w14:textId="3DDA11D4" w:rsidR="00235C4D" w:rsidRPr="00235C4D" w:rsidRDefault="00235C4D" w:rsidP="00235C4D">
            <w:pPr>
              <w:numPr>
                <w:ilvl w:val="0"/>
                <w:numId w:val="25"/>
              </w:numPr>
              <w:spacing w:line="240" w:lineRule="auto"/>
              <w:ind w:left="360"/>
              <w:jc w:val="both"/>
              <w:rPr>
                <w:rFonts w:ascii="Times New Roman" w:hAnsi="Times New Roman"/>
              </w:rPr>
            </w:pPr>
            <w:r w:rsidRPr="00235C4D">
              <w:rPr>
                <w:rFonts w:ascii="Times New Roman" w:hAnsi="Times New Roman"/>
              </w:rPr>
              <w:t>Uniwersytet Medyczny im. Karola Marcinkowskiego w Poznaniu</w:t>
            </w:r>
            <w:r w:rsidR="00E8062C">
              <w:rPr>
                <w:rFonts w:ascii="Times New Roman" w:hAnsi="Times New Roman"/>
              </w:rPr>
              <w:t>;</w:t>
            </w:r>
          </w:p>
          <w:p w14:paraId="64CC4268" w14:textId="7CF8D889" w:rsidR="00235C4D" w:rsidRPr="00235C4D" w:rsidRDefault="00235C4D" w:rsidP="00235C4D">
            <w:pPr>
              <w:numPr>
                <w:ilvl w:val="0"/>
                <w:numId w:val="25"/>
              </w:numPr>
              <w:spacing w:line="240" w:lineRule="auto"/>
              <w:ind w:left="360"/>
              <w:jc w:val="both"/>
              <w:rPr>
                <w:rFonts w:ascii="Times New Roman" w:hAnsi="Times New Roman"/>
              </w:rPr>
            </w:pPr>
            <w:r w:rsidRPr="00235C4D">
              <w:rPr>
                <w:rFonts w:ascii="Times New Roman" w:hAnsi="Times New Roman"/>
              </w:rPr>
              <w:t>Uniwersytet Medyczny im. Piastów Śląskich we Wrocławiu</w:t>
            </w:r>
            <w:r w:rsidR="00E8062C">
              <w:rPr>
                <w:rFonts w:ascii="Times New Roman" w:hAnsi="Times New Roman"/>
              </w:rPr>
              <w:t>;</w:t>
            </w:r>
          </w:p>
          <w:p w14:paraId="0B1C8B7E" w14:textId="23C94515" w:rsidR="00235C4D" w:rsidRPr="00235C4D" w:rsidRDefault="00235C4D" w:rsidP="00235C4D">
            <w:pPr>
              <w:numPr>
                <w:ilvl w:val="0"/>
                <w:numId w:val="25"/>
              </w:numPr>
              <w:spacing w:line="240" w:lineRule="auto"/>
              <w:ind w:left="360"/>
              <w:jc w:val="both"/>
              <w:rPr>
                <w:rFonts w:ascii="Times New Roman" w:hAnsi="Times New Roman"/>
              </w:rPr>
            </w:pPr>
            <w:r w:rsidRPr="00235C4D">
              <w:rPr>
                <w:rFonts w:ascii="Times New Roman" w:hAnsi="Times New Roman"/>
              </w:rPr>
              <w:t>Uniwersytet Medyczny w Białymstoku</w:t>
            </w:r>
            <w:r w:rsidR="00E8062C">
              <w:rPr>
                <w:rFonts w:ascii="Times New Roman" w:hAnsi="Times New Roman"/>
              </w:rPr>
              <w:t>;</w:t>
            </w:r>
          </w:p>
          <w:p w14:paraId="61200FFA" w14:textId="313F63CC" w:rsidR="00235C4D" w:rsidRPr="00235C4D" w:rsidRDefault="00235C4D" w:rsidP="00235C4D">
            <w:pPr>
              <w:numPr>
                <w:ilvl w:val="0"/>
                <w:numId w:val="25"/>
              </w:numPr>
              <w:spacing w:line="240" w:lineRule="auto"/>
              <w:ind w:left="360"/>
              <w:jc w:val="both"/>
              <w:rPr>
                <w:rFonts w:ascii="Times New Roman" w:hAnsi="Times New Roman"/>
              </w:rPr>
            </w:pPr>
            <w:r w:rsidRPr="00235C4D">
              <w:rPr>
                <w:rFonts w:ascii="Times New Roman" w:hAnsi="Times New Roman"/>
              </w:rPr>
              <w:t>Uniwersytet Medyczny w Lublinie</w:t>
            </w:r>
            <w:r w:rsidR="00E8062C">
              <w:rPr>
                <w:rFonts w:ascii="Times New Roman" w:hAnsi="Times New Roman"/>
              </w:rPr>
              <w:t>;</w:t>
            </w:r>
          </w:p>
          <w:p w14:paraId="2611D44C" w14:textId="2E891D75" w:rsidR="00235C4D" w:rsidRPr="00235C4D" w:rsidRDefault="00235C4D" w:rsidP="00235C4D">
            <w:pPr>
              <w:numPr>
                <w:ilvl w:val="0"/>
                <w:numId w:val="25"/>
              </w:numPr>
              <w:spacing w:line="240" w:lineRule="auto"/>
              <w:ind w:left="360"/>
              <w:jc w:val="both"/>
              <w:rPr>
                <w:rFonts w:ascii="Times New Roman" w:hAnsi="Times New Roman"/>
              </w:rPr>
            </w:pPr>
            <w:r w:rsidRPr="00235C4D">
              <w:rPr>
                <w:rFonts w:ascii="Times New Roman" w:hAnsi="Times New Roman"/>
              </w:rPr>
              <w:t>Uniwersytet Medyczny w Łodzi</w:t>
            </w:r>
            <w:r w:rsidR="00E8062C">
              <w:rPr>
                <w:rFonts w:ascii="Times New Roman" w:hAnsi="Times New Roman"/>
              </w:rPr>
              <w:t>;</w:t>
            </w:r>
          </w:p>
          <w:p w14:paraId="5DB43AE7" w14:textId="77777777" w:rsidR="00DB76A8" w:rsidRDefault="00235C4D" w:rsidP="00235C4D">
            <w:pPr>
              <w:numPr>
                <w:ilvl w:val="0"/>
                <w:numId w:val="25"/>
              </w:numPr>
              <w:spacing w:line="240" w:lineRule="auto"/>
              <w:ind w:left="360"/>
              <w:jc w:val="both"/>
              <w:rPr>
                <w:rFonts w:ascii="Times New Roman" w:hAnsi="Times New Roman"/>
              </w:rPr>
            </w:pPr>
            <w:r w:rsidRPr="00235C4D">
              <w:rPr>
                <w:rFonts w:ascii="Times New Roman" w:hAnsi="Times New Roman"/>
              </w:rPr>
              <w:t>Warszawski Uniwersytet Medyczny</w:t>
            </w:r>
            <w:r w:rsidR="00DB76A8">
              <w:rPr>
                <w:rFonts w:ascii="Times New Roman" w:hAnsi="Times New Roman"/>
              </w:rPr>
              <w:t>,</w:t>
            </w:r>
          </w:p>
          <w:p w14:paraId="31A60C40" w14:textId="05AA801B" w:rsidR="00DB76A8" w:rsidRPr="00DB76A8" w:rsidRDefault="00DB76A8" w:rsidP="00DB76A8">
            <w:pPr>
              <w:numPr>
                <w:ilvl w:val="0"/>
                <w:numId w:val="25"/>
              </w:numPr>
              <w:spacing w:line="240" w:lineRule="auto"/>
              <w:ind w:left="360"/>
              <w:jc w:val="both"/>
              <w:rPr>
                <w:rFonts w:ascii="Times New Roman" w:hAnsi="Times New Roman"/>
              </w:rPr>
            </w:pPr>
            <w:r w:rsidRPr="00DB76A8">
              <w:rPr>
                <w:rFonts w:ascii="Times New Roman" w:hAnsi="Times New Roman"/>
              </w:rPr>
              <w:t>Naczeln</w:t>
            </w:r>
            <w:r>
              <w:rPr>
                <w:rFonts w:ascii="Times New Roman" w:hAnsi="Times New Roman"/>
              </w:rPr>
              <w:t>a</w:t>
            </w:r>
            <w:r w:rsidRPr="00DB76A8">
              <w:rPr>
                <w:rFonts w:ascii="Times New Roman" w:hAnsi="Times New Roman"/>
              </w:rPr>
              <w:t xml:space="preserve"> Rad</w:t>
            </w:r>
            <w:r>
              <w:rPr>
                <w:rFonts w:ascii="Times New Roman" w:hAnsi="Times New Roman"/>
              </w:rPr>
              <w:t>a</w:t>
            </w:r>
            <w:r w:rsidRPr="00DB76A8">
              <w:rPr>
                <w:rFonts w:ascii="Times New Roman" w:hAnsi="Times New Roman"/>
              </w:rPr>
              <w:t xml:space="preserve"> Lekarsk</w:t>
            </w:r>
            <w:r>
              <w:rPr>
                <w:rFonts w:ascii="Times New Roman" w:hAnsi="Times New Roman"/>
              </w:rPr>
              <w:t>a</w:t>
            </w:r>
            <w:r w:rsidRPr="00DB76A8">
              <w:rPr>
                <w:rFonts w:ascii="Times New Roman" w:hAnsi="Times New Roman"/>
              </w:rPr>
              <w:t>;</w:t>
            </w:r>
          </w:p>
          <w:p w14:paraId="4A30C5BF" w14:textId="779C3CE7" w:rsidR="00DB76A8" w:rsidRPr="00DB76A8" w:rsidRDefault="00DB76A8" w:rsidP="00DB76A8">
            <w:pPr>
              <w:numPr>
                <w:ilvl w:val="0"/>
                <w:numId w:val="25"/>
              </w:numPr>
              <w:spacing w:line="240" w:lineRule="auto"/>
              <w:ind w:left="360"/>
              <w:jc w:val="both"/>
              <w:rPr>
                <w:rFonts w:ascii="Times New Roman" w:hAnsi="Times New Roman"/>
              </w:rPr>
            </w:pPr>
            <w:r w:rsidRPr="00DB76A8">
              <w:rPr>
                <w:rFonts w:ascii="Times New Roman" w:hAnsi="Times New Roman"/>
              </w:rPr>
              <w:t>Naczeln</w:t>
            </w:r>
            <w:r>
              <w:rPr>
                <w:rFonts w:ascii="Times New Roman" w:hAnsi="Times New Roman"/>
              </w:rPr>
              <w:t>a</w:t>
            </w:r>
            <w:r w:rsidRPr="00DB76A8">
              <w:rPr>
                <w:rFonts w:ascii="Times New Roman" w:hAnsi="Times New Roman"/>
              </w:rPr>
              <w:t xml:space="preserve"> Rad</w:t>
            </w:r>
            <w:r>
              <w:rPr>
                <w:rFonts w:ascii="Times New Roman" w:hAnsi="Times New Roman"/>
              </w:rPr>
              <w:t>a</w:t>
            </w:r>
            <w:r w:rsidRPr="00DB76A8">
              <w:rPr>
                <w:rFonts w:ascii="Times New Roman" w:hAnsi="Times New Roman"/>
              </w:rPr>
              <w:t xml:space="preserve"> Pielęgniarek i Położnych;</w:t>
            </w:r>
          </w:p>
          <w:p w14:paraId="4C1F09B3" w14:textId="1F62C950" w:rsidR="00DB76A8" w:rsidRPr="00DB76A8" w:rsidRDefault="00DB76A8" w:rsidP="00DB76A8">
            <w:pPr>
              <w:numPr>
                <w:ilvl w:val="0"/>
                <w:numId w:val="25"/>
              </w:numPr>
              <w:spacing w:line="240" w:lineRule="auto"/>
              <w:ind w:left="360"/>
              <w:jc w:val="both"/>
              <w:rPr>
                <w:rFonts w:ascii="Times New Roman" w:hAnsi="Times New Roman"/>
              </w:rPr>
            </w:pPr>
            <w:r w:rsidRPr="00DB76A8">
              <w:rPr>
                <w:rFonts w:ascii="Times New Roman" w:hAnsi="Times New Roman"/>
              </w:rPr>
              <w:t>Naczeln</w:t>
            </w:r>
            <w:r>
              <w:rPr>
                <w:rFonts w:ascii="Times New Roman" w:hAnsi="Times New Roman"/>
              </w:rPr>
              <w:t>a</w:t>
            </w:r>
            <w:r w:rsidRPr="00DB76A8">
              <w:rPr>
                <w:rFonts w:ascii="Times New Roman" w:hAnsi="Times New Roman"/>
              </w:rPr>
              <w:t xml:space="preserve"> Rad</w:t>
            </w:r>
            <w:r>
              <w:rPr>
                <w:rFonts w:ascii="Times New Roman" w:hAnsi="Times New Roman"/>
              </w:rPr>
              <w:t>a</w:t>
            </w:r>
            <w:r w:rsidRPr="00DB76A8">
              <w:rPr>
                <w:rFonts w:ascii="Times New Roman" w:hAnsi="Times New Roman"/>
              </w:rPr>
              <w:t xml:space="preserve"> Aptekarsk</w:t>
            </w:r>
            <w:r>
              <w:rPr>
                <w:rFonts w:ascii="Times New Roman" w:hAnsi="Times New Roman"/>
              </w:rPr>
              <w:t>a</w:t>
            </w:r>
            <w:r w:rsidRPr="00DB76A8">
              <w:rPr>
                <w:rFonts w:ascii="Times New Roman" w:hAnsi="Times New Roman"/>
              </w:rPr>
              <w:t>;</w:t>
            </w:r>
          </w:p>
          <w:p w14:paraId="5DC405A5" w14:textId="1772F04D" w:rsidR="00DB76A8" w:rsidRPr="00DB76A8" w:rsidRDefault="00DB76A8" w:rsidP="00DB76A8">
            <w:pPr>
              <w:numPr>
                <w:ilvl w:val="0"/>
                <w:numId w:val="25"/>
              </w:numPr>
              <w:spacing w:line="240" w:lineRule="auto"/>
              <w:ind w:left="360"/>
              <w:jc w:val="both"/>
              <w:rPr>
                <w:rFonts w:ascii="Times New Roman" w:hAnsi="Times New Roman"/>
              </w:rPr>
            </w:pPr>
            <w:r w:rsidRPr="00DB76A8">
              <w:rPr>
                <w:rFonts w:ascii="Times New Roman" w:hAnsi="Times New Roman"/>
              </w:rPr>
              <w:t>Krajow</w:t>
            </w:r>
            <w:r>
              <w:rPr>
                <w:rFonts w:ascii="Times New Roman" w:hAnsi="Times New Roman"/>
              </w:rPr>
              <w:t>a</w:t>
            </w:r>
            <w:r w:rsidRPr="00DB76A8">
              <w:rPr>
                <w:rFonts w:ascii="Times New Roman" w:hAnsi="Times New Roman"/>
              </w:rPr>
              <w:t xml:space="preserve"> Rad</w:t>
            </w:r>
            <w:r>
              <w:rPr>
                <w:rFonts w:ascii="Times New Roman" w:hAnsi="Times New Roman"/>
              </w:rPr>
              <w:t>a</w:t>
            </w:r>
            <w:r w:rsidRPr="00DB76A8">
              <w:rPr>
                <w:rFonts w:ascii="Times New Roman" w:hAnsi="Times New Roman"/>
              </w:rPr>
              <w:t xml:space="preserve"> Diagnostów Laboratoryjnych;</w:t>
            </w:r>
          </w:p>
          <w:p w14:paraId="4419812E" w14:textId="08F2BA3D" w:rsidR="00DB76A8" w:rsidRPr="00DB76A8" w:rsidRDefault="00DB76A8" w:rsidP="00DB76A8">
            <w:pPr>
              <w:numPr>
                <w:ilvl w:val="0"/>
                <w:numId w:val="25"/>
              </w:numPr>
              <w:spacing w:line="240" w:lineRule="auto"/>
              <w:ind w:left="360"/>
              <w:jc w:val="both"/>
              <w:rPr>
                <w:rFonts w:ascii="Times New Roman" w:hAnsi="Times New Roman"/>
              </w:rPr>
            </w:pPr>
            <w:r w:rsidRPr="00DB76A8">
              <w:rPr>
                <w:rFonts w:ascii="Times New Roman" w:hAnsi="Times New Roman"/>
              </w:rPr>
              <w:t>Krajow</w:t>
            </w:r>
            <w:r>
              <w:rPr>
                <w:rFonts w:ascii="Times New Roman" w:hAnsi="Times New Roman"/>
              </w:rPr>
              <w:t>a</w:t>
            </w:r>
            <w:r w:rsidRPr="00DB76A8">
              <w:rPr>
                <w:rFonts w:ascii="Times New Roman" w:hAnsi="Times New Roman"/>
              </w:rPr>
              <w:t xml:space="preserve"> Rad</w:t>
            </w:r>
            <w:r>
              <w:rPr>
                <w:rFonts w:ascii="Times New Roman" w:hAnsi="Times New Roman"/>
              </w:rPr>
              <w:t>a</w:t>
            </w:r>
            <w:r w:rsidRPr="00DB76A8">
              <w:rPr>
                <w:rFonts w:ascii="Times New Roman" w:hAnsi="Times New Roman"/>
              </w:rPr>
              <w:t xml:space="preserve"> Ratowników Medycznych;</w:t>
            </w:r>
          </w:p>
          <w:p w14:paraId="217D8D51" w14:textId="1665E0DB" w:rsidR="00DB76A8" w:rsidRPr="00DB76A8" w:rsidRDefault="00DB76A8" w:rsidP="00DB76A8">
            <w:pPr>
              <w:numPr>
                <w:ilvl w:val="0"/>
                <w:numId w:val="25"/>
              </w:numPr>
              <w:spacing w:line="240" w:lineRule="auto"/>
              <w:ind w:left="360"/>
              <w:jc w:val="both"/>
              <w:rPr>
                <w:rFonts w:ascii="Times New Roman" w:hAnsi="Times New Roman"/>
              </w:rPr>
            </w:pPr>
            <w:r w:rsidRPr="00DB76A8">
              <w:rPr>
                <w:rFonts w:ascii="Times New Roman" w:hAnsi="Times New Roman"/>
              </w:rPr>
              <w:t>Krajow</w:t>
            </w:r>
            <w:r>
              <w:rPr>
                <w:rFonts w:ascii="Times New Roman" w:hAnsi="Times New Roman"/>
              </w:rPr>
              <w:t>a</w:t>
            </w:r>
            <w:r w:rsidRPr="00DB76A8">
              <w:rPr>
                <w:rFonts w:ascii="Times New Roman" w:hAnsi="Times New Roman"/>
              </w:rPr>
              <w:t xml:space="preserve"> Rad</w:t>
            </w:r>
            <w:r>
              <w:rPr>
                <w:rFonts w:ascii="Times New Roman" w:hAnsi="Times New Roman"/>
              </w:rPr>
              <w:t>a</w:t>
            </w:r>
            <w:r w:rsidRPr="00DB76A8">
              <w:rPr>
                <w:rFonts w:ascii="Times New Roman" w:hAnsi="Times New Roman"/>
              </w:rPr>
              <w:t xml:space="preserve"> Fizjoterapeutów;</w:t>
            </w:r>
          </w:p>
          <w:p w14:paraId="2971A013" w14:textId="77777777" w:rsidR="007F0EC5" w:rsidRDefault="00DB76A8" w:rsidP="007F0EC5">
            <w:pPr>
              <w:numPr>
                <w:ilvl w:val="0"/>
                <w:numId w:val="25"/>
              </w:numPr>
              <w:spacing w:line="240" w:lineRule="auto"/>
              <w:ind w:left="360"/>
              <w:jc w:val="both"/>
              <w:rPr>
                <w:rFonts w:ascii="Times New Roman" w:hAnsi="Times New Roman"/>
              </w:rPr>
            </w:pPr>
            <w:r w:rsidRPr="00DB76A8">
              <w:rPr>
                <w:rFonts w:ascii="Times New Roman" w:hAnsi="Times New Roman"/>
              </w:rPr>
              <w:t>Rad</w:t>
            </w:r>
            <w:r>
              <w:rPr>
                <w:rFonts w:ascii="Times New Roman" w:hAnsi="Times New Roman"/>
              </w:rPr>
              <w:t>a</w:t>
            </w:r>
            <w:r w:rsidRPr="00DB76A8">
              <w:rPr>
                <w:rFonts w:ascii="Times New Roman" w:hAnsi="Times New Roman"/>
              </w:rPr>
              <w:t xml:space="preserve"> Organizacji Pacjentów przy ministrze właściwym do spraw zdrowia</w:t>
            </w:r>
            <w:r w:rsidR="007F0EC5">
              <w:rPr>
                <w:rFonts w:ascii="Times New Roman" w:hAnsi="Times New Roman"/>
              </w:rPr>
              <w:t>.</w:t>
            </w:r>
          </w:p>
          <w:p w14:paraId="0F71EDCA" w14:textId="77777777" w:rsidR="007F0EC5" w:rsidRDefault="007F0EC5" w:rsidP="007F0EC5">
            <w:pPr>
              <w:spacing w:line="240" w:lineRule="auto"/>
              <w:jc w:val="both"/>
              <w:rPr>
                <w:rFonts w:ascii="Times New Roman" w:hAnsi="Times New Roman"/>
              </w:rPr>
            </w:pPr>
          </w:p>
          <w:p w14:paraId="00F11551" w14:textId="07445ED7" w:rsidR="00EE0DD8" w:rsidRPr="007F0EC5" w:rsidRDefault="00A37BB7" w:rsidP="007F0EC5">
            <w:pPr>
              <w:spacing w:line="240" w:lineRule="auto"/>
              <w:jc w:val="both"/>
              <w:rPr>
                <w:rFonts w:ascii="Times New Roman" w:hAnsi="Times New Roman"/>
              </w:rPr>
            </w:pPr>
            <w:r w:rsidRPr="007F0EC5">
              <w:rPr>
                <w:rFonts w:ascii="Times New Roman" w:hAnsi="Times New Roman"/>
                <w:lang w:val=""/>
              </w:rPr>
              <w:t>Projekt rozporządzenia zosta</w:t>
            </w:r>
            <w:r w:rsidR="007F0EC5">
              <w:rPr>
                <w:rFonts w:ascii="Times New Roman" w:hAnsi="Times New Roman"/>
                <w:lang w:val=""/>
              </w:rPr>
              <w:t>ł</w:t>
            </w:r>
            <w:r w:rsidRPr="007F0EC5">
              <w:rPr>
                <w:rFonts w:ascii="Times New Roman" w:hAnsi="Times New Roman"/>
                <w:lang w:val=""/>
              </w:rPr>
              <w:t xml:space="preserve"> zamieszczony, zgodnie z § 52 ust. 1 uchwały nr 190 Rady Ministrów z dnia 29 października 2013 r. – Regulamin pracy Rady Ministrów (M.P. z </w:t>
            </w:r>
            <w:r w:rsidR="00EE0DD8" w:rsidRPr="007F0EC5">
              <w:rPr>
                <w:rFonts w:ascii="Times New Roman" w:hAnsi="Times New Roman"/>
                <w:lang w:val=""/>
              </w:rPr>
              <w:t xml:space="preserve">2024 </w:t>
            </w:r>
            <w:r w:rsidRPr="007F0EC5">
              <w:rPr>
                <w:rFonts w:ascii="Times New Roman" w:hAnsi="Times New Roman"/>
                <w:lang w:val=""/>
              </w:rPr>
              <w:t xml:space="preserve">r. poz. </w:t>
            </w:r>
            <w:r w:rsidR="00EE0DD8" w:rsidRPr="007F0EC5">
              <w:rPr>
                <w:rFonts w:ascii="Times New Roman" w:hAnsi="Times New Roman"/>
                <w:lang w:val=""/>
              </w:rPr>
              <w:t>806</w:t>
            </w:r>
            <w:r w:rsidR="00FC337B" w:rsidRPr="007F0EC5">
              <w:rPr>
                <w:rFonts w:ascii="Times New Roman" w:hAnsi="Times New Roman"/>
                <w:lang w:val=""/>
              </w:rPr>
              <w:t xml:space="preserve">, z późn. </w:t>
            </w:r>
            <w:r w:rsidR="009577E0" w:rsidRPr="007F0EC5">
              <w:rPr>
                <w:rFonts w:ascii="Times New Roman" w:hAnsi="Times New Roman"/>
                <w:lang w:val=""/>
              </w:rPr>
              <w:t>z</w:t>
            </w:r>
            <w:r w:rsidR="00FC337B" w:rsidRPr="007F0EC5">
              <w:rPr>
                <w:rFonts w:ascii="Times New Roman" w:hAnsi="Times New Roman"/>
                <w:lang w:val=""/>
              </w:rPr>
              <w:t>m.</w:t>
            </w:r>
            <w:r w:rsidRPr="007F0EC5">
              <w:rPr>
                <w:rFonts w:ascii="Times New Roman" w:hAnsi="Times New Roman"/>
                <w:lang w:val=""/>
              </w:rPr>
              <w:t>)</w:t>
            </w:r>
            <w:r w:rsidR="007F0EC5">
              <w:rPr>
                <w:rFonts w:ascii="Times New Roman" w:hAnsi="Times New Roman"/>
                <w:lang w:val=""/>
              </w:rPr>
              <w:t>,</w:t>
            </w:r>
            <w:r w:rsidRPr="007F0EC5">
              <w:rPr>
                <w:rFonts w:ascii="Times New Roman" w:hAnsi="Times New Roman"/>
                <w:lang w:val=""/>
              </w:rPr>
              <w:t xml:space="preserve"> w Biuletynie Informacji Publicznej na stronie podmiotowej Rządowego Centrum Legislacji, w serwisie Rządowy Proces Legislacyjny. </w:t>
            </w:r>
          </w:p>
          <w:p w14:paraId="058435F2" w14:textId="2CF0A194" w:rsidR="006A701A" w:rsidRDefault="00A37BB7" w:rsidP="00A37BB7">
            <w:pPr>
              <w:spacing w:before="120" w:after="120" w:line="240" w:lineRule="auto"/>
              <w:jc w:val="both"/>
              <w:rPr>
                <w:rFonts w:ascii="Times New Roman" w:hAnsi="Times New Roman"/>
                <w:lang w:val=""/>
              </w:rPr>
            </w:pPr>
            <w:r w:rsidRPr="00875CC9">
              <w:rPr>
                <w:rFonts w:ascii="Times New Roman" w:hAnsi="Times New Roman"/>
                <w:lang w:val=""/>
              </w:rPr>
              <w:t>P</w:t>
            </w:r>
            <w:r>
              <w:rPr>
                <w:rFonts w:ascii="Times New Roman" w:hAnsi="Times New Roman"/>
                <w:lang w:val=""/>
              </w:rPr>
              <w:t>onadto p</w:t>
            </w:r>
            <w:r w:rsidRPr="00875CC9">
              <w:rPr>
                <w:rFonts w:ascii="Times New Roman" w:hAnsi="Times New Roman"/>
                <w:lang w:val=""/>
              </w:rPr>
              <w:t xml:space="preserve">rojekt rozporządzenia </w:t>
            </w:r>
            <w:r>
              <w:rPr>
                <w:rFonts w:ascii="Times New Roman" w:hAnsi="Times New Roman"/>
                <w:lang w:val=""/>
              </w:rPr>
              <w:t>zosta</w:t>
            </w:r>
            <w:r w:rsidR="007F0EC5">
              <w:rPr>
                <w:rFonts w:ascii="Times New Roman" w:hAnsi="Times New Roman"/>
                <w:lang w:val=""/>
              </w:rPr>
              <w:t>ł</w:t>
            </w:r>
            <w:r>
              <w:rPr>
                <w:rFonts w:ascii="Times New Roman" w:hAnsi="Times New Roman"/>
                <w:lang w:val=""/>
              </w:rPr>
              <w:t xml:space="preserve"> </w:t>
            </w:r>
            <w:r w:rsidRPr="00875CC9">
              <w:rPr>
                <w:rFonts w:ascii="Times New Roman" w:hAnsi="Times New Roman"/>
                <w:lang w:val=""/>
              </w:rPr>
              <w:t xml:space="preserve">udostępniony w Biuletynie Informacji Publicznej na stronie podmiotowej Ministra </w:t>
            </w:r>
            <w:r>
              <w:rPr>
                <w:rFonts w:ascii="Times New Roman" w:hAnsi="Times New Roman"/>
                <w:lang w:val=""/>
              </w:rPr>
              <w:t>Zdrowia</w:t>
            </w:r>
            <w:r w:rsidRPr="00875CC9">
              <w:rPr>
                <w:rFonts w:ascii="Times New Roman" w:hAnsi="Times New Roman"/>
                <w:lang w:val=""/>
              </w:rPr>
              <w:t xml:space="preserve"> zgodnie z art. 5 ustawy z dnia 7 lipca 2005 r. o działalności lobbingowej w procesie stanowienia prawa (</w:t>
            </w:r>
            <w:r w:rsidRPr="00242E92">
              <w:rPr>
                <w:rFonts w:ascii="Times New Roman" w:hAnsi="Times New Roman"/>
                <w:lang w:val=""/>
              </w:rPr>
              <w:t>Dz.</w:t>
            </w:r>
            <w:r w:rsidR="00766042">
              <w:rPr>
                <w:rFonts w:ascii="Times New Roman" w:hAnsi="Times New Roman"/>
                <w:lang w:val=""/>
              </w:rPr>
              <w:t xml:space="preserve"> </w:t>
            </w:r>
            <w:r w:rsidRPr="00242E92">
              <w:rPr>
                <w:rFonts w:ascii="Times New Roman" w:hAnsi="Times New Roman"/>
                <w:lang w:val=""/>
              </w:rPr>
              <w:t>U. z 2025 r. poz. 677)</w:t>
            </w:r>
            <w:r w:rsidR="00B749D7">
              <w:rPr>
                <w:rFonts w:ascii="Times New Roman" w:hAnsi="Times New Roman"/>
                <w:lang w:val=""/>
              </w:rPr>
              <w:t>.</w:t>
            </w:r>
          </w:p>
          <w:p w14:paraId="41E6DB20" w14:textId="307448A6" w:rsidR="00FF3F3C" w:rsidRDefault="00FF3F3C" w:rsidP="00A37BB7">
            <w:pPr>
              <w:spacing w:before="120" w:after="120" w:line="240" w:lineRule="auto"/>
              <w:jc w:val="both"/>
              <w:rPr>
                <w:rFonts w:ascii="Times New Roman" w:hAnsi="Times New Roman"/>
                <w:lang w:val=""/>
              </w:rPr>
            </w:pPr>
            <w:r w:rsidRPr="00FF3F3C">
              <w:rPr>
                <w:rFonts w:ascii="Times New Roman" w:hAnsi="Times New Roman"/>
                <w:lang w:val=""/>
              </w:rPr>
              <w:t>Projektowane rozporządzenie nie będzie przedmiotem opiniowania Komisji Wspólnej Rządu i Samorządu Terytorialnego, ponieważ nie dotyczy problematyki samorządu terytorialnego.</w:t>
            </w:r>
          </w:p>
          <w:p w14:paraId="4F078134" w14:textId="27FD5606" w:rsidR="00FC337B" w:rsidRPr="00B37C80" w:rsidRDefault="00FC337B" w:rsidP="00A37BB7">
            <w:pPr>
              <w:spacing w:before="120" w:after="120" w:line="240" w:lineRule="auto"/>
              <w:jc w:val="both"/>
              <w:rPr>
                <w:rFonts w:ascii="Times New Roman" w:hAnsi="Times New Roman"/>
                <w:color w:val="000000"/>
                <w:spacing w:val="-2"/>
              </w:rPr>
            </w:pPr>
            <w:r w:rsidRPr="00FC337B">
              <w:rPr>
                <w:rFonts w:ascii="Times New Roman" w:hAnsi="Times New Roman"/>
                <w:color w:val="000000"/>
                <w:spacing w:val="-2"/>
              </w:rPr>
              <w:t>Wyniki konsultacji publicznych i opiniowania zostaną omówione w raporcie dołączonym do Oceny Skutków Regulacji.</w:t>
            </w:r>
          </w:p>
        </w:tc>
      </w:tr>
      <w:tr w:rsidR="006A701A" w:rsidRPr="008B4FE6" w14:paraId="6B2BEFA8" w14:textId="77777777" w:rsidTr="00676C8D">
        <w:trPr>
          <w:gridAfter w:val="1"/>
          <w:wAfter w:w="10" w:type="dxa"/>
          <w:trHeight w:val="363"/>
        </w:trPr>
        <w:tc>
          <w:tcPr>
            <w:tcW w:w="10937" w:type="dxa"/>
            <w:gridSpan w:val="29"/>
            <w:shd w:val="clear" w:color="auto" w:fill="99CCFF"/>
            <w:vAlign w:val="center"/>
          </w:tcPr>
          <w:p w14:paraId="56B4A507" w14:textId="77777777"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260F33" w:rsidRPr="008B4FE6" w14:paraId="78AE41F3" w14:textId="77777777" w:rsidTr="00676C8D">
        <w:trPr>
          <w:gridAfter w:val="1"/>
          <w:wAfter w:w="10" w:type="dxa"/>
          <w:trHeight w:val="142"/>
        </w:trPr>
        <w:tc>
          <w:tcPr>
            <w:tcW w:w="3133" w:type="dxa"/>
            <w:gridSpan w:val="4"/>
            <w:vMerge w:val="restart"/>
            <w:shd w:val="clear" w:color="auto" w:fill="FFFFFF"/>
          </w:tcPr>
          <w:p w14:paraId="0F95F260" w14:textId="77777777" w:rsidR="00260F33" w:rsidRPr="00C53F26" w:rsidRDefault="00821717" w:rsidP="00821717">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7804" w:type="dxa"/>
            <w:gridSpan w:val="25"/>
            <w:shd w:val="clear" w:color="auto" w:fill="FFFFFF"/>
          </w:tcPr>
          <w:p w14:paraId="0680078C" w14:textId="77777777"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7668E" w:rsidRPr="008B4FE6" w14:paraId="21DFA411" w14:textId="77777777" w:rsidTr="00676C8D">
        <w:trPr>
          <w:gridAfter w:val="1"/>
          <w:wAfter w:w="10" w:type="dxa"/>
          <w:trHeight w:val="142"/>
        </w:trPr>
        <w:tc>
          <w:tcPr>
            <w:tcW w:w="3133" w:type="dxa"/>
            <w:gridSpan w:val="4"/>
            <w:vMerge/>
            <w:shd w:val="clear" w:color="auto" w:fill="FFFFFF"/>
          </w:tcPr>
          <w:p w14:paraId="5024FB0A" w14:textId="77777777" w:rsidR="0057668E" w:rsidRPr="00C53F26" w:rsidRDefault="0057668E" w:rsidP="00A52ADB">
            <w:pPr>
              <w:spacing w:before="40" w:after="40" w:line="240" w:lineRule="auto"/>
              <w:rPr>
                <w:rFonts w:ascii="Times New Roman" w:hAnsi="Times New Roman"/>
                <w:i/>
                <w:color w:val="000000"/>
                <w:sz w:val="21"/>
                <w:szCs w:val="21"/>
              </w:rPr>
            </w:pPr>
          </w:p>
        </w:tc>
        <w:tc>
          <w:tcPr>
            <w:tcW w:w="569" w:type="dxa"/>
            <w:gridSpan w:val="2"/>
            <w:shd w:val="clear" w:color="auto" w:fill="FFFFFF"/>
          </w:tcPr>
          <w:p w14:paraId="35BFA0E6"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14:paraId="138C7179"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0DE9E13D"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14:paraId="60729010"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14:paraId="260DAAC7"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755D5C85"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19B35E6B"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14:paraId="1139EB57"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14:paraId="7606327B"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66CB9CA1"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2C44C7BF"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14:paraId="65AFBC82" w14:textId="77777777" w:rsidR="0057668E" w:rsidRPr="00C53F26" w:rsidRDefault="0057668E"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585E9E" w:rsidRPr="008B4FE6" w14:paraId="3624FCA3" w14:textId="77777777" w:rsidTr="00676C8D">
        <w:trPr>
          <w:trHeight w:val="321"/>
        </w:trPr>
        <w:tc>
          <w:tcPr>
            <w:tcW w:w="3133" w:type="dxa"/>
            <w:gridSpan w:val="4"/>
            <w:shd w:val="clear" w:color="auto" w:fill="FFFFFF"/>
            <w:vAlign w:val="center"/>
          </w:tcPr>
          <w:p w14:paraId="1BA5D5AD"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44031BD9"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650310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0D764B5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0E35020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229A9916"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1FEFA7B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4802500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1BC504FF"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705D660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A21028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6F69B30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4506EFA9" w14:textId="77777777" w:rsidR="00585E9E" w:rsidRPr="00B37C80" w:rsidRDefault="00585E9E" w:rsidP="00585E9E">
            <w:pPr>
              <w:spacing w:line="240" w:lineRule="auto"/>
              <w:jc w:val="center"/>
              <w:rPr>
                <w:rFonts w:ascii="Times New Roman" w:hAnsi="Times New Roman"/>
                <w:color w:val="000000"/>
                <w:spacing w:val="-2"/>
                <w:sz w:val="21"/>
                <w:szCs w:val="21"/>
              </w:rPr>
            </w:pPr>
            <w:r w:rsidRPr="00EB1630">
              <w:t>-</w:t>
            </w:r>
          </w:p>
        </w:tc>
      </w:tr>
      <w:tr w:rsidR="00585E9E" w:rsidRPr="008B4FE6" w14:paraId="719FEFC0" w14:textId="77777777" w:rsidTr="00676C8D">
        <w:trPr>
          <w:trHeight w:val="321"/>
        </w:trPr>
        <w:tc>
          <w:tcPr>
            <w:tcW w:w="3133" w:type="dxa"/>
            <w:gridSpan w:val="4"/>
            <w:shd w:val="clear" w:color="auto" w:fill="FFFFFF"/>
            <w:vAlign w:val="center"/>
          </w:tcPr>
          <w:p w14:paraId="43FCD5AD"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559E2D3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303A130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3EF941F9"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7B64B10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60E8C6B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5D1B4A18"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7AF653B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56F7250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6254F76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70A50808"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06320948"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489AB1B3" w14:textId="77777777" w:rsidR="00585E9E" w:rsidRPr="00B37C80" w:rsidRDefault="00585E9E" w:rsidP="00585E9E">
            <w:pPr>
              <w:spacing w:line="240" w:lineRule="auto"/>
              <w:jc w:val="center"/>
              <w:rPr>
                <w:rFonts w:ascii="Times New Roman" w:hAnsi="Times New Roman"/>
                <w:color w:val="000000"/>
                <w:spacing w:val="-2"/>
                <w:sz w:val="21"/>
                <w:szCs w:val="21"/>
              </w:rPr>
            </w:pPr>
            <w:r w:rsidRPr="00EB1630">
              <w:t>-</w:t>
            </w:r>
          </w:p>
        </w:tc>
      </w:tr>
      <w:tr w:rsidR="00585E9E" w:rsidRPr="008B4FE6" w14:paraId="05E740CF" w14:textId="77777777" w:rsidTr="00676C8D">
        <w:trPr>
          <w:trHeight w:val="344"/>
        </w:trPr>
        <w:tc>
          <w:tcPr>
            <w:tcW w:w="3133" w:type="dxa"/>
            <w:gridSpan w:val="4"/>
            <w:shd w:val="clear" w:color="auto" w:fill="FFFFFF"/>
            <w:vAlign w:val="center"/>
          </w:tcPr>
          <w:p w14:paraId="1FBD7CC8"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4368CB0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2641216F"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2BAC760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1238575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167C517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3A4D40E8"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40BFCA7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18C7FED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B8776D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26E7B51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221AB45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7584E23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585E9E" w:rsidRPr="008B4FE6" w14:paraId="1D8E100F" w14:textId="77777777" w:rsidTr="00676C8D">
        <w:trPr>
          <w:trHeight w:val="344"/>
        </w:trPr>
        <w:tc>
          <w:tcPr>
            <w:tcW w:w="3133" w:type="dxa"/>
            <w:gridSpan w:val="4"/>
            <w:shd w:val="clear" w:color="auto" w:fill="FFFFFF"/>
            <w:vAlign w:val="center"/>
          </w:tcPr>
          <w:p w14:paraId="13ADFD2C"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14D64EC3"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7C98572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7B540B2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623C6913"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297E7A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589DCA4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3865E7E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387D4D4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3A0B3D0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5C31A01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76D69A8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21F3B5B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585E9E" w:rsidRPr="008B4FE6" w14:paraId="6387E3C8" w14:textId="77777777" w:rsidTr="00676C8D">
        <w:trPr>
          <w:trHeight w:val="330"/>
        </w:trPr>
        <w:tc>
          <w:tcPr>
            <w:tcW w:w="3133" w:type="dxa"/>
            <w:gridSpan w:val="4"/>
            <w:shd w:val="clear" w:color="auto" w:fill="FFFFFF"/>
            <w:vAlign w:val="center"/>
          </w:tcPr>
          <w:p w14:paraId="6E0AD13C"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14:paraId="3009D71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048C932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1FF5E8D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37F1E68E"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5626B1BF"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257DD643"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6791951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5710870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3018762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3578830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6B46FEA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1DA524F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585E9E" w:rsidRPr="008B4FE6" w14:paraId="602A11E8" w14:textId="77777777" w:rsidTr="00676C8D">
        <w:trPr>
          <w:trHeight w:val="330"/>
        </w:trPr>
        <w:tc>
          <w:tcPr>
            <w:tcW w:w="3133" w:type="dxa"/>
            <w:gridSpan w:val="4"/>
            <w:shd w:val="clear" w:color="auto" w:fill="FFFFFF"/>
            <w:vAlign w:val="center"/>
          </w:tcPr>
          <w:p w14:paraId="6F3A5781"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2C3BE6A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110B5E39"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7C2A58DE"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7FA0244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3D9C735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360279D9"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1809431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36607BB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2E77D116"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59D0126"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3341E593"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0210F8E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585E9E" w:rsidRPr="008B4FE6" w14:paraId="23E3389D" w14:textId="77777777" w:rsidTr="00676C8D">
        <w:trPr>
          <w:trHeight w:val="351"/>
        </w:trPr>
        <w:tc>
          <w:tcPr>
            <w:tcW w:w="3133" w:type="dxa"/>
            <w:gridSpan w:val="4"/>
            <w:shd w:val="clear" w:color="auto" w:fill="FFFFFF"/>
            <w:vAlign w:val="center"/>
          </w:tcPr>
          <w:p w14:paraId="48FDD683"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4D1B394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287142E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1C200676"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13A4AA59"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2F27C4C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23B46208"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5A2183A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52C57B9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7D22E70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3F05167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413A90F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7ED7479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585E9E" w:rsidRPr="008B4FE6" w14:paraId="2392514F" w14:textId="77777777" w:rsidTr="00676C8D">
        <w:trPr>
          <w:trHeight w:val="351"/>
        </w:trPr>
        <w:tc>
          <w:tcPr>
            <w:tcW w:w="3133" w:type="dxa"/>
            <w:gridSpan w:val="4"/>
            <w:shd w:val="clear" w:color="auto" w:fill="FFFFFF"/>
            <w:vAlign w:val="center"/>
          </w:tcPr>
          <w:p w14:paraId="5EFFAC23"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117B9109"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C77C356"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298D958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37AD58D8"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10362E4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099A7BDE"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068EA2D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290A6FA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106AD13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6CE9A3A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5A38ABC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4B23481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585E9E" w:rsidRPr="008B4FE6" w14:paraId="1F71F80B" w14:textId="77777777" w:rsidTr="00676C8D">
        <w:trPr>
          <w:trHeight w:val="360"/>
        </w:trPr>
        <w:tc>
          <w:tcPr>
            <w:tcW w:w="3133" w:type="dxa"/>
            <w:gridSpan w:val="4"/>
            <w:shd w:val="clear" w:color="auto" w:fill="FFFFFF"/>
            <w:vAlign w:val="center"/>
          </w:tcPr>
          <w:p w14:paraId="3F461632"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7ECE557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CB216F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6726EB7F"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5B25601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3E372D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07B8CBC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576ED4A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51E012EF"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1C432AA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57C700C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0874FB0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0ACE17C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585E9E" w:rsidRPr="008B4FE6" w14:paraId="71B339D9" w14:textId="77777777" w:rsidTr="00676C8D">
        <w:trPr>
          <w:trHeight w:val="360"/>
        </w:trPr>
        <w:tc>
          <w:tcPr>
            <w:tcW w:w="3133" w:type="dxa"/>
            <w:gridSpan w:val="4"/>
            <w:shd w:val="clear" w:color="auto" w:fill="FFFFFF"/>
            <w:vAlign w:val="center"/>
          </w:tcPr>
          <w:p w14:paraId="724588EC"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70A2B826"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2D7F71B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0D3AEA6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283E3DBE"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76D365D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26F684F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5A585A8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0A96334F"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3F3B02A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55E1161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371A036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7C01F22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585E9E" w:rsidRPr="008B4FE6" w14:paraId="6E9BBC95" w14:textId="77777777" w:rsidTr="00676C8D">
        <w:trPr>
          <w:trHeight w:val="357"/>
        </w:trPr>
        <w:tc>
          <w:tcPr>
            <w:tcW w:w="3133" w:type="dxa"/>
            <w:gridSpan w:val="4"/>
            <w:shd w:val="clear" w:color="auto" w:fill="FFFFFF"/>
            <w:vAlign w:val="center"/>
          </w:tcPr>
          <w:p w14:paraId="03BF33E5"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5936879F"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1BFDB7C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6F801F0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2133A2FE"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5500B48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171A791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6DA4E76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6A4D8DF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3C4D18A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74B6734F"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16729EF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4648B6D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585E9E" w:rsidRPr="008B4FE6" w14:paraId="2F9C426B" w14:textId="77777777" w:rsidTr="00676C8D">
        <w:trPr>
          <w:trHeight w:val="357"/>
        </w:trPr>
        <w:tc>
          <w:tcPr>
            <w:tcW w:w="3133" w:type="dxa"/>
            <w:gridSpan w:val="4"/>
            <w:shd w:val="clear" w:color="auto" w:fill="FFFFFF"/>
            <w:vAlign w:val="center"/>
          </w:tcPr>
          <w:p w14:paraId="679E95D7" w14:textId="77777777" w:rsidR="00585E9E" w:rsidRPr="00C53F26" w:rsidRDefault="00585E9E" w:rsidP="00585E9E">
            <w:pPr>
              <w:spacing w:line="240" w:lineRule="auto"/>
              <w:rPr>
                <w:rFonts w:ascii="Times New Roman" w:hAnsi="Times New Roman"/>
                <w:color w:val="000000"/>
                <w:sz w:val="21"/>
                <w:szCs w:val="21"/>
              </w:rPr>
            </w:pPr>
            <w:r w:rsidRPr="00C53F26">
              <w:rPr>
                <w:rFonts w:ascii="Times New Roman" w:hAnsi="Times New Roman"/>
                <w:color w:val="000000"/>
                <w:sz w:val="21"/>
                <w:szCs w:val="21"/>
              </w:rPr>
              <w:lastRenderedPageBreak/>
              <w:t>pozostałe jednostki (oddzielnie)</w:t>
            </w:r>
          </w:p>
        </w:tc>
        <w:tc>
          <w:tcPr>
            <w:tcW w:w="569" w:type="dxa"/>
            <w:gridSpan w:val="2"/>
            <w:shd w:val="clear" w:color="auto" w:fill="FFFFFF"/>
          </w:tcPr>
          <w:p w14:paraId="49E740B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7AB27C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0C2252C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1BCDEFA3"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466F102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2DCBEDD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3"/>
            <w:shd w:val="clear" w:color="auto" w:fill="FFFFFF"/>
          </w:tcPr>
          <w:p w14:paraId="036FBE4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69" w:type="dxa"/>
            <w:gridSpan w:val="3"/>
            <w:shd w:val="clear" w:color="auto" w:fill="FFFFFF"/>
          </w:tcPr>
          <w:p w14:paraId="70E4531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0255296D"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gridSpan w:val="2"/>
            <w:shd w:val="clear" w:color="auto" w:fill="FFFFFF"/>
          </w:tcPr>
          <w:p w14:paraId="1822DC6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570" w:type="dxa"/>
            <w:shd w:val="clear" w:color="auto" w:fill="FFFFFF"/>
          </w:tcPr>
          <w:p w14:paraId="0C6DBF1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547" w:type="dxa"/>
            <w:gridSpan w:val="3"/>
            <w:shd w:val="clear" w:color="auto" w:fill="FFFFFF"/>
          </w:tcPr>
          <w:p w14:paraId="6948F999"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r>
      <w:tr w:rsidR="006A701A" w:rsidRPr="008B4FE6" w14:paraId="4ABC1D81" w14:textId="77777777" w:rsidTr="00676C8D">
        <w:trPr>
          <w:gridAfter w:val="1"/>
          <w:wAfter w:w="10" w:type="dxa"/>
          <w:trHeight w:val="348"/>
        </w:trPr>
        <w:tc>
          <w:tcPr>
            <w:tcW w:w="2243" w:type="dxa"/>
            <w:gridSpan w:val="2"/>
            <w:shd w:val="clear" w:color="auto" w:fill="FFFFFF"/>
            <w:vAlign w:val="center"/>
          </w:tcPr>
          <w:p w14:paraId="18ACC290" w14:textId="77777777" w:rsidR="006A701A" w:rsidRPr="00C53F26" w:rsidRDefault="006A701A" w:rsidP="005741EE">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14:paraId="36B0D0ED" w14:textId="77777777" w:rsidR="006A701A" w:rsidRPr="00B37C80" w:rsidRDefault="006A701A" w:rsidP="00E8062C">
            <w:pPr>
              <w:spacing w:line="240" w:lineRule="auto"/>
              <w:jc w:val="both"/>
              <w:rPr>
                <w:rFonts w:ascii="Times New Roman" w:hAnsi="Times New Roman"/>
                <w:color w:val="000000"/>
                <w:sz w:val="21"/>
                <w:szCs w:val="21"/>
              </w:rPr>
            </w:pPr>
          </w:p>
          <w:p w14:paraId="384BD9EE" w14:textId="77777777" w:rsidR="006A701A" w:rsidRPr="00B37C80" w:rsidRDefault="00585E9E" w:rsidP="00E8062C">
            <w:pPr>
              <w:spacing w:line="240" w:lineRule="auto"/>
              <w:jc w:val="both"/>
              <w:rPr>
                <w:rFonts w:ascii="Times New Roman" w:hAnsi="Times New Roman"/>
                <w:color w:val="000000"/>
                <w:sz w:val="21"/>
                <w:szCs w:val="21"/>
              </w:rPr>
            </w:pPr>
            <w:r w:rsidRPr="00585E9E">
              <w:rPr>
                <w:rFonts w:ascii="Times New Roman" w:hAnsi="Times New Roman"/>
                <w:color w:val="000000"/>
                <w:sz w:val="21"/>
                <w:szCs w:val="21"/>
              </w:rPr>
              <w:t>Wejście w życie projektowanego rozporządzenia nie będzie miało wpływu na sektor finansów publicznych, w tym na budżet państwa i budżety jednostek samorządu terytorialnego.</w:t>
            </w:r>
          </w:p>
          <w:p w14:paraId="50F46463" w14:textId="77777777" w:rsidR="006A701A" w:rsidRPr="00B37C80" w:rsidRDefault="006A701A" w:rsidP="00E8062C">
            <w:pPr>
              <w:spacing w:line="240" w:lineRule="auto"/>
              <w:jc w:val="both"/>
              <w:rPr>
                <w:rFonts w:ascii="Times New Roman" w:hAnsi="Times New Roman"/>
                <w:color w:val="000000"/>
                <w:sz w:val="21"/>
                <w:szCs w:val="21"/>
              </w:rPr>
            </w:pPr>
          </w:p>
        </w:tc>
      </w:tr>
      <w:tr w:rsidR="00E24BD7" w:rsidRPr="008B4FE6" w14:paraId="05414780" w14:textId="77777777" w:rsidTr="00585E9E">
        <w:trPr>
          <w:gridAfter w:val="1"/>
          <w:wAfter w:w="10" w:type="dxa"/>
          <w:trHeight w:val="1253"/>
        </w:trPr>
        <w:tc>
          <w:tcPr>
            <w:tcW w:w="2243" w:type="dxa"/>
            <w:gridSpan w:val="2"/>
            <w:shd w:val="clear" w:color="auto" w:fill="FFFFFF"/>
          </w:tcPr>
          <w:p w14:paraId="2DC4BB27" w14:textId="77777777" w:rsidR="00E24BD7" w:rsidRPr="00C53F26" w:rsidRDefault="001B3460"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4" w:type="dxa"/>
            <w:gridSpan w:val="27"/>
            <w:shd w:val="clear" w:color="auto" w:fill="FFFFFF"/>
          </w:tcPr>
          <w:p w14:paraId="6F4C801C" w14:textId="77777777" w:rsidR="00585E9E" w:rsidRDefault="00585E9E" w:rsidP="00065847">
            <w:pPr>
              <w:spacing w:line="240" w:lineRule="auto"/>
              <w:jc w:val="both"/>
              <w:rPr>
                <w:rFonts w:ascii="Times New Roman" w:hAnsi="Times New Roman"/>
                <w:color w:val="000000"/>
                <w:sz w:val="21"/>
                <w:szCs w:val="21"/>
              </w:rPr>
            </w:pPr>
          </w:p>
          <w:p w14:paraId="64DBB42C" w14:textId="77777777" w:rsidR="00E24BD7" w:rsidRDefault="00585E9E" w:rsidP="00065847">
            <w:pPr>
              <w:spacing w:line="240" w:lineRule="auto"/>
              <w:jc w:val="both"/>
              <w:rPr>
                <w:rFonts w:ascii="Times New Roman" w:hAnsi="Times New Roman"/>
                <w:color w:val="000000"/>
                <w:sz w:val="21"/>
                <w:szCs w:val="21"/>
              </w:rPr>
            </w:pPr>
            <w:r w:rsidRPr="00585E9E">
              <w:rPr>
                <w:rFonts w:ascii="Times New Roman" w:hAnsi="Times New Roman"/>
                <w:color w:val="000000"/>
                <w:sz w:val="21"/>
                <w:szCs w:val="21"/>
              </w:rPr>
              <w:t>Wejście w życie projektowanego rozporządzenia nie spowoduje zwiększenia wydatków lub zmniejszenia dochodów budżetu państwa i budżetów jednostek samorządu terytorialnego.</w:t>
            </w:r>
          </w:p>
          <w:p w14:paraId="5B9BDB84" w14:textId="70003B2A" w:rsidR="00E24BD7" w:rsidRPr="00C53F26" w:rsidRDefault="00235C4D" w:rsidP="00065847">
            <w:pPr>
              <w:spacing w:before="120" w:line="240" w:lineRule="auto"/>
              <w:jc w:val="both"/>
              <w:rPr>
                <w:rFonts w:ascii="Times New Roman" w:hAnsi="Times New Roman"/>
                <w:color w:val="000000"/>
                <w:sz w:val="21"/>
                <w:szCs w:val="21"/>
              </w:rPr>
            </w:pPr>
            <w:r>
              <w:rPr>
                <w:rFonts w:ascii="Times New Roman" w:hAnsi="Times New Roman"/>
                <w:color w:val="000000"/>
                <w:sz w:val="21"/>
                <w:szCs w:val="21"/>
              </w:rPr>
              <w:t xml:space="preserve">Kwota środków przeznaczonych do podziału algorytmem określonym w załączniku nr 1 do rozporządzenia wynika bezpośrednio z ustawy budżetowej. Tym samym </w:t>
            </w:r>
            <w:r w:rsidR="00E1628D">
              <w:rPr>
                <w:rFonts w:ascii="Times New Roman" w:hAnsi="Times New Roman"/>
                <w:color w:val="000000"/>
                <w:sz w:val="21"/>
                <w:szCs w:val="21"/>
              </w:rPr>
              <w:t xml:space="preserve">zmiany wprowadzone w algorytmie podziału subwencji nie wpływają na globalną wysokość środków dysponowanych przez </w:t>
            </w:r>
            <w:r w:rsidR="00F541B7">
              <w:rPr>
                <w:rFonts w:ascii="Times New Roman" w:hAnsi="Times New Roman"/>
                <w:color w:val="000000"/>
                <w:sz w:val="21"/>
                <w:szCs w:val="21"/>
              </w:rPr>
              <w:t>ministra właściwego do spraw zdrowia,</w:t>
            </w:r>
            <w:r w:rsidR="00E1628D">
              <w:rPr>
                <w:rFonts w:ascii="Times New Roman" w:hAnsi="Times New Roman"/>
                <w:color w:val="000000"/>
                <w:sz w:val="21"/>
                <w:szCs w:val="21"/>
              </w:rPr>
              <w:t xml:space="preserve"> a jedynie wpływają na zmiany wysokości subwencji określonej dla poszczególnych uczelni medycznych w ramach </w:t>
            </w:r>
            <w:r w:rsidR="00766042">
              <w:rPr>
                <w:rFonts w:ascii="Times New Roman" w:hAnsi="Times New Roman"/>
                <w:color w:val="000000"/>
                <w:sz w:val="21"/>
                <w:szCs w:val="21"/>
              </w:rPr>
              <w:t>środków,</w:t>
            </w:r>
            <w:r w:rsidR="00E1628D">
              <w:rPr>
                <w:rFonts w:ascii="Times New Roman" w:hAnsi="Times New Roman"/>
                <w:color w:val="000000"/>
                <w:sz w:val="21"/>
                <w:szCs w:val="21"/>
              </w:rPr>
              <w:t xml:space="preserve"> którymi dysponuje Ministerstwo Zdrowia.</w:t>
            </w:r>
          </w:p>
        </w:tc>
      </w:tr>
      <w:tr w:rsidR="006A701A" w:rsidRPr="008B4FE6" w14:paraId="7AD61021" w14:textId="77777777" w:rsidTr="00676C8D">
        <w:trPr>
          <w:gridAfter w:val="1"/>
          <w:wAfter w:w="10" w:type="dxa"/>
          <w:trHeight w:val="345"/>
        </w:trPr>
        <w:tc>
          <w:tcPr>
            <w:tcW w:w="10937" w:type="dxa"/>
            <w:gridSpan w:val="29"/>
            <w:shd w:val="clear" w:color="auto" w:fill="99CCFF"/>
          </w:tcPr>
          <w:p w14:paraId="3460A63C" w14:textId="77777777" w:rsidR="006A701A" w:rsidRPr="008B4FE6" w:rsidRDefault="006A701A" w:rsidP="0072636A">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00563199" w:rsidRPr="008B4FE6">
              <w:rPr>
                <w:rFonts w:ascii="Times New Roman" w:hAnsi="Times New Roman"/>
                <w:b/>
                <w:color w:val="000000"/>
              </w:rPr>
              <w:t xml:space="preserve">konkurencyjność </w:t>
            </w:r>
            <w:r w:rsidR="005E7371" w:rsidRPr="008B4FE6">
              <w:rPr>
                <w:rFonts w:ascii="Times New Roman" w:hAnsi="Times New Roman"/>
                <w:b/>
                <w:color w:val="000000"/>
              </w:rPr>
              <w:t>gospodark</w:t>
            </w:r>
            <w:r w:rsidR="00563199">
              <w:rPr>
                <w:rFonts w:ascii="Times New Roman" w:hAnsi="Times New Roman"/>
                <w:b/>
                <w:color w:val="000000"/>
              </w:rPr>
              <w:t>i</w:t>
            </w:r>
            <w:r w:rsidR="005E7371" w:rsidRPr="008B4FE6">
              <w:rPr>
                <w:rFonts w:ascii="Times New Roman" w:hAnsi="Times New Roman"/>
                <w:b/>
                <w:color w:val="000000"/>
              </w:rPr>
              <w:t xml:space="preserve"> </w:t>
            </w:r>
            <w:r w:rsidR="00705A29">
              <w:rPr>
                <w:rFonts w:ascii="Times New Roman" w:hAnsi="Times New Roman"/>
                <w:b/>
                <w:color w:val="000000"/>
              </w:rPr>
              <w:t>i</w:t>
            </w:r>
            <w:r w:rsidR="00563199">
              <w:rPr>
                <w:rFonts w:ascii="Times New Roman" w:hAnsi="Times New Roman"/>
                <w:b/>
                <w:color w:val="000000"/>
              </w:rPr>
              <w:t xml:space="preserve"> przedsiębiorczość</w:t>
            </w:r>
            <w:r w:rsidR="00472E45">
              <w:rPr>
                <w:rFonts w:ascii="Times New Roman" w:hAnsi="Times New Roman"/>
                <w:b/>
                <w:color w:val="000000"/>
              </w:rPr>
              <w:t>,</w:t>
            </w:r>
            <w:r w:rsidR="005E7371" w:rsidRPr="008B4FE6">
              <w:rPr>
                <w:rFonts w:ascii="Times New Roman" w:hAnsi="Times New Roman"/>
                <w:b/>
                <w:color w:val="000000"/>
              </w:rPr>
              <w:t xml:space="preserve"> </w:t>
            </w:r>
            <w:r w:rsidR="00705A29">
              <w:rPr>
                <w:rFonts w:ascii="Times New Roman" w:hAnsi="Times New Roman"/>
                <w:b/>
                <w:color w:val="000000"/>
              </w:rPr>
              <w:t xml:space="preserve">w tym </w:t>
            </w:r>
            <w:r w:rsidR="005E7371" w:rsidRPr="008B4FE6">
              <w:rPr>
                <w:rFonts w:ascii="Times New Roman" w:hAnsi="Times New Roman"/>
                <w:b/>
                <w:color w:val="000000"/>
              </w:rPr>
              <w:t>funkcjonowanie przedsiębi</w:t>
            </w:r>
            <w:r w:rsidR="00B93834">
              <w:rPr>
                <w:rFonts w:ascii="Times New Roman" w:hAnsi="Times New Roman"/>
                <w:b/>
                <w:color w:val="000000"/>
              </w:rPr>
              <w:t>orców</w:t>
            </w:r>
            <w:r w:rsidR="00472E45">
              <w:rPr>
                <w:rFonts w:ascii="Times New Roman" w:hAnsi="Times New Roman"/>
                <w:b/>
                <w:color w:val="000000"/>
              </w:rPr>
              <w:t xml:space="preserve"> </w:t>
            </w:r>
            <w:r w:rsidR="00B93834">
              <w:rPr>
                <w:rFonts w:ascii="Times New Roman" w:hAnsi="Times New Roman"/>
                <w:b/>
                <w:color w:val="000000"/>
              </w:rPr>
              <w:t xml:space="preserve">oraz na </w:t>
            </w:r>
            <w:r w:rsidR="00BB0DCA">
              <w:rPr>
                <w:rFonts w:ascii="Times New Roman" w:hAnsi="Times New Roman"/>
                <w:b/>
                <w:color w:val="000000"/>
              </w:rPr>
              <w:t xml:space="preserve">rodzinę, </w:t>
            </w:r>
            <w:r w:rsidR="00B93834">
              <w:rPr>
                <w:rFonts w:ascii="Times New Roman" w:hAnsi="Times New Roman"/>
                <w:b/>
                <w:color w:val="000000"/>
              </w:rPr>
              <w:t xml:space="preserve">obywateli i gospodarstwa domowe </w:t>
            </w:r>
          </w:p>
        </w:tc>
      </w:tr>
      <w:tr w:rsidR="005E7371" w:rsidRPr="008B4FE6" w14:paraId="046DBA50" w14:textId="77777777" w:rsidTr="00676C8D">
        <w:trPr>
          <w:gridAfter w:val="1"/>
          <w:wAfter w:w="10" w:type="dxa"/>
          <w:trHeight w:val="142"/>
        </w:trPr>
        <w:tc>
          <w:tcPr>
            <w:tcW w:w="10937" w:type="dxa"/>
            <w:gridSpan w:val="29"/>
            <w:shd w:val="clear" w:color="auto" w:fill="FFFFFF"/>
          </w:tcPr>
          <w:p w14:paraId="0135B502" w14:textId="77777777" w:rsidR="005E7371" w:rsidRPr="00301959" w:rsidRDefault="001B3460" w:rsidP="00811D46">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2E6D63" w:rsidRPr="008B4FE6" w14:paraId="0684A52A" w14:textId="77777777" w:rsidTr="00676C8D">
        <w:trPr>
          <w:gridAfter w:val="1"/>
          <w:wAfter w:w="10" w:type="dxa"/>
          <w:trHeight w:val="142"/>
        </w:trPr>
        <w:tc>
          <w:tcPr>
            <w:tcW w:w="3889" w:type="dxa"/>
            <w:gridSpan w:val="7"/>
            <w:shd w:val="clear" w:color="auto" w:fill="FFFFFF"/>
          </w:tcPr>
          <w:p w14:paraId="00914577" w14:textId="77777777" w:rsidR="002E6D63" w:rsidRPr="00301959" w:rsidRDefault="002E6D63"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6022A042"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2B6ADD1F"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3DB1B345"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65374311"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1414DDB0"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7F895BBC" w14:textId="77777777"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53914158" w14:textId="77777777" w:rsidR="002E6D63" w:rsidRPr="001B3460" w:rsidRDefault="002E6D63" w:rsidP="00811D46">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001B3460" w:rsidRPr="001B3460">
              <w:rPr>
                <w:rFonts w:ascii="Times New Roman" w:hAnsi="Times New Roman"/>
                <w:i/>
                <w:color w:val="000000"/>
                <w:spacing w:val="-2"/>
                <w:sz w:val="21"/>
                <w:szCs w:val="21"/>
              </w:rPr>
              <w:t>(0-10)</w:t>
            </w:r>
          </w:p>
        </w:tc>
      </w:tr>
      <w:tr w:rsidR="00585E9E" w:rsidRPr="008B4FE6" w14:paraId="2948689D" w14:textId="77777777" w:rsidTr="008A5095">
        <w:trPr>
          <w:gridAfter w:val="1"/>
          <w:wAfter w:w="10" w:type="dxa"/>
          <w:trHeight w:val="142"/>
        </w:trPr>
        <w:tc>
          <w:tcPr>
            <w:tcW w:w="1596" w:type="dxa"/>
            <w:vMerge w:val="restart"/>
            <w:shd w:val="clear" w:color="auto" w:fill="FFFFFF"/>
          </w:tcPr>
          <w:p w14:paraId="29C0E7B8" w14:textId="77777777" w:rsidR="00585E9E" w:rsidRDefault="00585E9E" w:rsidP="00585E9E">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68863ECE" w14:textId="77777777" w:rsidR="00585E9E" w:rsidRDefault="00585E9E" w:rsidP="00585E9E">
            <w:pPr>
              <w:rPr>
                <w:rFonts w:ascii="Times New Roman" w:hAnsi="Times New Roman"/>
                <w:spacing w:val="-2"/>
                <w:sz w:val="21"/>
                <w:szCs w:val="21"/>
              </w:rPr>
            </w:pPr>
            <w:r>
              <w:rPr>
                <w:rFonts w:ascii="Times New Roman" w:hAnsi="Times New Roman"/>
                <w:spacing w:val="-2"/>
                <w:sz w:val="21"/>
                <w:szCs w:val="21"/>
              </w:rPr>
              <w:t xml:space="preserve">(w mln zł, </w:t>
            </w:r>
          </w:p>
          <w:p w14:paraId="01245130" w14:textId="77777777" w:rsidR="00585E9E" w:rsidRPr="00301959" w:rsidRDefault="00585E9E" w:rsidP="00585E9E">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2293" w:type="dxa"/>
            <w:gridSpan w:val="6"/>
            <w:shd w:val="clear" w:color="auto" w:fill="FFFFFF"/>
          </w:tcPr>
          <w:p w14:paraId="694B4493" w14:textId="77777777" w:rsidR="00585E9E" w:rsidRPr="00301959" w:rsidRDefault="00585E9E" w:rsidP="00585E9E">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0792A6B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5"/>
            <w:shd w:val="clear" w:color="auto" w:fill="FFFFFF"/>
          </w:tcPr>
          <w:p w14:paraId="20120A87"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4"/>
            <w:shd w:val="clear" w:color="auto" w:fill="FFFFFF"/>
          </w:tcPr>
          <w:p w14:paraId="6F2AAD4A"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7" w:type="dxa"/>
            <w:gridSpan w:val="3"/>
            <w:shd w:val="clear" w:color="auto" w:fill="FFFFFF"/>
          </w:tcPr>
          <w:p w14:paraId="5346DE54"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4"/>
            <w:shd w:val="clear" w:color="auto" w:fill="FFFFFF"/>
          </w:tcPr>
          <w:p w14:paraId="60CC0C76"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3"/>
            <w:shd w:val="clear" w:color="auto" w:fill="FFFFFF"/>
          </w:tcPr>
          <w:p w14:paraId="0F0703CE"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422" w:type="dxa"/>
            <w:shd w:val="clear" w:color="auto" w:fill="FFFFFF"/>
          </w:tcPr>
          <w:p w14:paraId="1B29AFC2" w14:textId="77777777" w:rsidR="00585E9E" w:rsidRPr="00B37C80" w:rsidRDefault="00585E9E" w:rsidP="00585E9E">
            <w:pPr>
              <w:spacing w:line="240" w:lineRule="auto"/>
              <w:jc w:val="center"/>
              <w:rPr>
                <w:rFonts w:ascii="Times New Roman" w:hAnsi="Times New Roman"/>
                <w:color w:val="000000"/>
                <w:spacing w:val="-2"/>
                <w:sz w:val="21"/>
                <w:szCs w:val="21"/>
              </w:rPr>
            </w:pPr>
            <w:r w:rsidRPr="00EB1630">
              <w:t>-</w:t>
            </w:r>
          </w:p>
        </w:tc>
      </w:tr>
      <w:tr w:rsidR="00585E9E" w:rsidRPr="008B4FE6" w14:paraId="35B3BD46" w14:textId="77777777" w:rsidTr="008A5095">
        <w:trPr>
          <w:gridAfter w:val="1"/>
          <w:wAfter w:w="10" w:type="dxa"/>
          <w:trHeight w:val="142"/>
        </w:trPr>
        <w:tc>
          <w:tcPr>
            <w:tcW w:w="1596" w:type="dxa"/>
            <w:vMerge/>
            <w:shd w:val="clear" w:color="auto" w:fill="FFFFFF"/>
          </w:tcPr>
          <w:p w14:paraId="59E21F48" w14:textId="77777777" w:rsidR="00585E9E" w:rsidRPr="00301959" w:rsidRDefault="00585E9E" w:rsidP="00585E9E">
            <w:pPr>
              <w:spacing w:line="240" w:lineRule="auto"/>
              <w:rPr>
                <w:rFonts w:ascii="Times New Roman" w:hAnsi="Times New Roman"/>
                <w:color w:val="000000"/>
                <w:sz w:val="21"/>
                <w:szCs w:val="21"/>
              </w:rPr>
            </w:pPr>
          </w:p>
        </w:tc>
        <w:tc>
          <w:tcPr>
            <w:tcW w:w="2293" w:type="dxa"/>
            <w:gridSpan w:val="6"/>
            <w:shd w:val="clear" w:color="auto" w:fill="FFFFFF"/>
          </w:tcPr>
          <w:p w14:paraId="52D6FB9A" w14:textId="77777777" w:rsidR="00585E9E" w:rsidRPr="00301959" w:rsidRDefault="00585E9E" w:rsidP="00585E9E">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1C7F12BF" w14:textId="77777777" w:rsidR="00585E9E" w:rsidRDefault="00585E9E" w:rsidP="00585E9E">
            <w:pPr>
              <w:spacing w:line="240" w:lineRule="auto"/>
              <w:jc w:val="center"/>
            </w:pPr>
          </w:p>
          <w:p w14:paraId="51FEEE0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5"/>
            <w:shd w:val="clear" w:color="auto" w:fill="FFFFFF"/>
          </w:tcPr>
          <w:p w14:paraId="3BFE1E58" w14:textId="77777777" w:rsidR="00585E9E" w:rsidRDefault="00585E9E" w:rsidP="00585E9E">
            <w:pPr>
              <w:spacing w:line="240" w:lineRule="auto"/>
              <w:jc w:val="center"/>
            </w:pPr>
          </w:p>
          <w:p w14:paraId="1EDED85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4"/>
            <w:shd w:val="clear" w:color="auto" w:fill="FFFFFF"/>
          </w:tcPr>
          <w:p w14:paraId="661EF259" w14:textId="77777777" w:rsidR="00585E9E" w:rsidRDefault="00585E9E" w:rsidP="00585E9E">
            <w:pPr>
              <w:spacing w:line="240" w:lineRule="auto"/>
              <w:jc w:val="center"/>
            </w:pPr>
          </w:p>
          <w:p w14:paraId="4C4431A0"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7" w:type="dxa"/>
            <w:gridSpan w:val="3"/>
            <w:shd w:val="clear" w:color="auto" w:fill="FFFFFF"/>
          </w:tcPr>
          <w:p w14:paraId="6F30932D" w14:textId="77777777" w:rsidR="00585E9E" w:rsidRDefault="00585E9E" w:rsidP="00585E9E">
            <w:pPr>
              <w:spacing w:line="240" w:lineRule="auto"/>
              <w:jc w:val="center"/>
            </w:pPr>
          </w:p>
          <w:p w14:paraId="358B0D33"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4"/>
            <w:shd w:val="clear" w:color="auto" w:fill="FFFFFF"/>
          </w:tcPr>
          <w:p w14:paraId="32862E14" w14:textId="77777777" w:rsidR="00585E9E" w:rsidRDefault="00585E9E" w:rsidP="00585E9E">
            <w:pPr>
              <w:spacing w:line="240" w:lineRule="auto"/>
              <w:jc w:val="center"/>
            </w:pPr>
          </w:p>
          <w:p w14:paraId="60A272D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3"/>
            <w:shd w:val="clear" w:color="auto" w:fill="FFFFFF"/>
          </w:tcPr>
          <w:p w14:paraId="531D213C" w14:textId="77777777" w:rsidR="00585E9E" w:rsidRDefault="00585E9E" w:rsidP="00585E9E">
            <w:pPr>
              <w:spacing w:line="240" w:lineRule="auto"/>
              <w:jc w:val="center"/>
            </w:pPr>
          </w:p>
          <w:p w14:paraId="1F90E74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422" w:type="dxa"/>
            <w:shd w:val="clear" w:color="auto" w:fill="FFFFFF"/>
          </w:tcPr>
          <w:p w14:paraId="150602B0" w14:textId="77777777" w:rsidR="00585E9E" w:rsidRDefault="00585E9E" w:rsidP="00585E9E">
            <w:pPr>
              <w:spacing w:line="240" w:lineRule="auto"/>
              <w:jc w:val="center"/>
            </w:pPr>
          </w:p>
          <w:p w14:paraId="22A1D6A2" w14:textId="77777777" w:rsidR="00585E9E" w:rsidRPr="00B37C80" w:rsidRDefault="00585E9E" w:rsidP="00585E9E">
            <w:pPr>
              <w:spacing w:line="240" w:lineRule="auto"/>
              <w:jc w:val="center"/>
              <w:rPr>
                <w:rFonts w:ascii="Times New Roman" w:hAnsi="Times New Roman"/>
                <w:color w:val="000000"/>
                <w:spacing w:val="-2"/>
                <w:sz w:val="21"/>
                <w:szCs w:val="21"/>
              </w:rPr>
            </w:pPr>
            <w:r w:rsidRPr="00EB1630">
              <w:t>-</w:t>
            </w:r>
          </w:p>
        </w:tc>
      </w:tr>
      <w:tr w:rsidR="00585E9E" w:rsidRPr="008B4FE6" w14:paraId="4F85DEF0" w14:textId="77777777" w:rsidTr="008A5095">
        <w:trPr>
          <w:gridAfter w:val="1"/>
          <w:wAfter w:w="10" w:type="dxa"/>
          <w:trHeight w:val="142"/>
        </w:trPr>
        <w:tc>
          <w:tcPr>
            <w:tcW w:w="1596" w:type="dxa"/>
            <w:vMerge/>
            <w:shd w:val="clear" w:color="auto" w:fill="FFFFFF"/>
          </w:tcPr>
          <w:p w14:paraId="4B70F7A7" w14:textId="77777777" w:rsidR="00585E9E" w:rsidRPr="00301959" w:rsidRDefault="00585E9E" w:rsidP="00585E9E">
            <w:pPr>
              <w:spacing w:line="240" w:lineRule="auto"/>
              <w:rPr>
                <w:rFonts w:ascii="Times New Roman" w:hAnsi="Times New Roman"/>
                <w:color w:val="000000"/>
                <w:sz w:val="21"/>
                <w:szCs w:val="21"/>
              </w:rPr>
            </w:pPr>
          </w:p>
        </w:tc>
        <w:tc>
          <w:tcPr>
            <w:tcW w:w="2293" w:type="dxa"/>
            <w:gridSpan w:val="6"/>
            <w:shd w:val="clear" w:color="auto" w:fill="FFFFFF"/>
          </w:tcPr>
          <w:p w14:paraId="47D9979C" w14:textId="77777777" w:rsidR="00585E9E" w:rsidRPr="00301959" w:rsidRDefault="00585E9E" w:rsidP="00585E9E">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019A22A1"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5"/>
            <w:shd w:val="clear" w:color="auto" w:fill="FFFFFF"/>
          </w:tcPr>
          <w:p w14:paraId="112F1DA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4"/>
            <w:shd w:val="clear" w:color="auto" w:fill="FFFFFF"/>
          </w:tcPr>
          <w:p w14:paraId="57908A98"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7" w:type="dxa"/>
            <w:gridSpan w:val="3"/>
            <w:shd w:val="clear" w:color="auto" w:fill="FFFFFF"/>
          </w:tcPr>
          <w:p w14:paraId="5F21DE25"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4"/>
            <w:shd w:val="clear" w:color="auto" w:fill="FFFFFF"/>
          </w:tcPr>
          <w:p w14:paraId="31540969"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3"/>
            <w:shd w:val="clear" w:color="auto" w:fill="FFFFFF"/>
          </w:tcPr>
          <w:p w14:paraId="7FF9BE0F"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422" w:type="dxa"/>
            <w:shd w:val="clear" w:color="auto" w:fill="FFFFFF"/>
          </w:tcPr>
          <w:p w14:paraId="2AFD3924" w14:textId="77777777" w:rsidR="00585E9E" w:rsidRPr="00B37C80" w:rsidRDefault="00585E9E" w:rsidP="00585E9E">
            <w:pPr>
              <w:spacing w:line="240" w:lineRule="auto"/>
              <w:jc w:val="center"/>
              <w:rPr>
                <w:rFonts w:ascii="Times New Roman" w:hAnsi="Times New Roman"/>
                <w:color w:val="000000"/>
                <w:spacing w:val="-2"/>
                <w:sz w:val="21"/>
                <w:szCs w:val="21"/>
              </w:rPr>
            </w:pPr>
            <w:r w:rsidRPr="00EB1630">
              <w:t>-</w:t>
            </w:r>
          </w:p>
        </w:tc>
      </w:tr>
      <w:tr w:rsidR="00585E9E" w:rsidRPr="008B4FE6" w14:paraId="59E15069" w14:textId="77777777" w:rsidTr="008A5095">
        <w:trPr>
          <w:gridAfter w:val="1"/>
          <w:wAfter w:w="10" w:type="dxa"/>
          <w:trHeight w:val="142"/>
        </w:trPr>
        <w:tc>
          <w:tcPr>
            <w:tcW w:w="1596" w:type="dxa"/>
            <w:vMerge/>
            <w:shd w:val="clear" w:color="auto" w:fill="FFFFFF"/>
          </w:tcPr>
          <w:p w14:paraId="5DC67441" w14:textId="77777777" w:rsidR="00585E9E" w:rsidRPr="00301959" w:rsidRDefault="00585E9E" w:rsidP="00585E9E">
            <w:pPr>
              <w:spacing w:line="240" w:lineRule="auto"/>
              <w:rPr>
                <w:rFonts w:ascii="Times New Roman" w:hAnsi="Times New Roman"/>
                <w:color w:val="000000"/>
                <w:sz w:val="21"/>
                <w:szCs w:val="21"/>
              </w:rPr>
            </w:pPr>
          </w:p>
        </w:tc>
        <w:tc>
          <w:tcPr>
            <w:tcW w:w="2293" w:type="dxa"/>
            <w:gridSpan w:val="6"/>
            <w:shd w:val="clear" w:color="auto" w:fill="FFFFFF"/>
          </w:tcPr>
          <w:p w14:paraId="2166BE01" w14:textId="77777777" w:rsidR="00585E9E" w:rsidRPr="00301959" w:rsidRDefault="00585E9E" w:rsidP="00585E9E">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937" w:type="dxa"/>
            <w:gridSpan w:val="2"/>
            <w:shd w:val="clear" w:color="auto" w:fill="FFFFFF"/>
          </w:tcPr>
          <w:p w14:paraId="7D93DE69"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5"/>
            <w:shd w:val="clear" w:color="auto" w:fill="FFFFFF"/>
          </w:tcPr>
          <w:p w14:paraId="2CC86F3C"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4"/>
            <w:shd w:val="clear" w:color="auto" w:fill="FFFFFF"/>
          </w:tcPr>
          <w:p w14:paraId="20602BD6"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7" w:type="dxa"/>
            <w:gridSpan w:val="3"/>
            <w:shd w:val="clear" w:color="auto" w:fill="FFFFFF"/>
          </w:tcPr>
          <w:p w14:paraId="247E7ED2"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4"/>
            <w:shd w:val="clear" w:color="auto" w:fill="FFFFFF"/>
          </w:tcPr>
          <w:p w14:paraId="23D3FC1B"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938" w:type="dxa"/>
            <w:gridSpan w:val="3"/>
            <w:shd w:val="clear" w:color="auto" w:fill="FFFFFF"/>
          </w:tcPr>
          <w:p w14:paraId="167B6C08" w14:textId="77777777" w:rsidR="00585E9E" w:rsidRPr="00B37C80" w:rsidRDefault="00585E9E" w:rsidP="00585E9E">
            <w:pPr>
              <w:spacing w:line="240" w:lineRule="auto"/>
              <w:jc w:val="center"/>
              <w:rPr>
                <w:rFonts w:ascii="Times New Roman" w:hAnsi="Times New Roman"/>
                <w:color w:val="000000"/>
                <w:sz w:val="21"/>
                <w:szCs w:val="21"/>
              </w:rPr>
            </w:pPr>
            <w:r w:rsidRPr="00EB1630">
              <w:t>-</w:t>
            </w:r>
          </w:p>
        </w:tc>
        <w:tc>
          <w:tcPr>
            <w:tcW w:w="1422" w:type="dxa"/>
            <w:shd w:val="clear" w:color="auto" w:fill="FFFFFF"/>
          </w:tcPr>
          <w:p w14:paraId="17EC28AE" w14:textId="77777777" w:rsidR="00585E9E" w:rsidRPr="00B37C80" w:rsidRDefault="00585E9E" w:rsidP="00585E9E">
            <w:pPr>
              <w:spacing w:line="240" w:lineRule="auto"/>
              <w:jc w:val="center"/>
              <w:rPr>
                <w:rFonts w:ascii="Times New Roman" w:hAnsi="Times New Roman"/>
                <w:color w:val="000000"/>
                <w:spacing w:val="-2"/>
                <w:sz w:val="21"/>
                <w:szCs w:val="21"/>
              </w:rPr>
            </w:pPr>
            <w:r w:rsidRPr="00EB1630">
              <w:t>-</w:t>
            </w:r>
          </w:p>
        </w:tc>
      </w:tr>
      <w:tr w:rsidR="008A608F" w:rsidRPr="008B4FE6" w14:paraId="6E61B5DF" w14:textId="77777777" w:rsidTr="00676C8D">
        <w:trPr>
          <w:gridAfter w:val="1"/>
          <w:wAfter w:w="10" w:type="dxa"/>
          <w:trHeight w:val="142"/>
        </w:trPr>
        <w:tc>
          <w:tcPr>
            <w:tcW w:w="1596" w:type="dxa"/>
            <w:vMerge w:val="restart"/>
            <w:shd w:val="clear" w:color="auto" w:fill="FFFFFF"/>
          </w:tcPr>
          <w:p w14:paraId="33D6A4A3" w14:textId="77777777" w:rsidR="008A608F" w:rsidRPr="00301959" w:rsidRDefault="008A608F"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sidR="0097181B">
              <w:rPr>
                <w:rFonts w:ascii="Times New Roman" w:hAnsi="Times New Roman"/>
                <w:color w:val="000000"/>
                <w:sz w:val="21"/>
                <w:szCs w:val="21"/>
              </w:rPr>
              <w:t>ujęciu</w:t>
            </w:r>
            <w:r w:rsidR="0097181B" w:rsidRPr="00301959">
              <w:rPr>
                <w:rFonts w:ascii="Times New Roman" w:hAnsi="Times New Roman"/>
                <w:color w:val="000000"/>
                <w:sz w:val="21"/>
                <w:szCs w:val="21"/>
              </w:rPr>
              <w:t xml:space="preserve"> </w:t>
            </w:r>
            <w:r w:rsidRPr="00301959">
              <w:rPr>
                <w:rFonts w:ascii="Times New Roman" w:hAnsi="Times New Roman"/>
                <w:color w:val="000000"/>
                <w:sz w:val="21"/>
                <w:szCs w:val="21"/>
              </w:rPr>
              <w:t>niepieniężnym</w:t>
            </w:r>
          </w:p>
        </w:tc>
        <w:tc>
          <w:tcPr>
            <w:tcW w:w="2293" w:type="dxa"/>
            <w:gridSpan w:val="6"/>
            <w:shd w:val="clear" w:color="auto" w:fill="FFFFFF"/>
          </w:tcPr>
          <w:p w14:paraId="4C76C88C" w14:textId="77777777"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w:t>
            </w:r>
            <w:r w:rsidR="008A608F" w:rsidRPr="00301959">
              <w:rPr>
                <w:rFonts w:ascii="Times New Roman" w:hAnsi="Times New Roman"/>
                <w:color w:val="000000"/>
                <w:sz w:val="21"/>
                <w:szCs w:val="21"/>
              </w:rPr>
              <w:t>rzedsiębiorstwa</w:t>
            </w:r>
          </w:p>
        </w:tc>
        <w:tc>
          <w:tcPr>
            <w:tcW w:w="7048" w:type="dxa"/>
            <w:gridSpan w:val="22"/>
            <w:shd w:val="clear" w:color="auto" w:fill="FFFFFF"/>
          </w:tcPr>
          <w:p w14:paraId="03F879B5" w14:textId="7B89FF5F" w:rsidR="008A608F" w:rsidRPr="00B37C80" w:rsidRDefault="009A6E82" w:rsidP="00811D46">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b</w:t>
            </w:r>
            <w:r w:rsidR="00585E9E" w:rsidRPr="00585E9E">
              <w:rPr>
                <w:rFonts w:ascii="Times New Roman" w:hAnsi="Times New Roman"/>
                <w:color w:val="000000"/>
                <w:spacing w:val="-2"/>
                <w:sz w:val="21"/>
                <w:szCs w:val="21"/>
              </w:rPr>
              <w:t>rak wpływu</w:t>
            </w:r>
          </w:p>
        </w:tc>
      </w:tr>
      <w:tr w:rsidR="008A608F" w:rsidRPr="008B4FE6" w14:paraId="2975EFC1" w14:textId="77777777" w:rsidTr="00676C8D">
        <w:trPr>
          <w:gridAfter w:val="1"/>
          <w:wAfter w:w="10" w:type="dxa"/>
          <w:trHeight w:val="142"/>
        </w:trPr>
        <w:tc>
          <w:tcPr>
            <w:tcW w:w="1596" w:type="dxa"/>
            <w:vMerge/>
            <w:shd w:val="clear" w:color="auto" w:fill="FFFFFF"/>
          </w:tcPr>
          <w:p w14:paraId="358B10CB" w14:textId="77777777" w:rsidR="008A608F" w:rsidRPr="00301959" w:rsidRDefault="008A608F" w:rsidP="00811D46">
            <w:pPr>
              <w:spacing w:line="240" w:lineRule="auto"/>
              <w:rPr>
                <w:rFonts w:ascii="Times New Roman" w:hAnsi="Times New Roman"/>
                <w:color w:val="000000"/>
                <w:sz w:val="21"/>
                <w:szCs w:val="21"/>
              </w:rPr>
            </w:pPr>
          </w:p>
        </w:tc>
        <w:tc>
          <w:tcPr>
            <w:tcW w:w="2293" w:type="dxa"/>
            <w:gridSpan w:val="6"/>
            <w:shd w:val="clear" w:color="auto" w:fill="FFFFFF"/>
          </w:tcPr>
          <w:p w14:paraId="330FFB10" w14:textId="77777777"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w:t>
            </w:r>
            <w:r w:rsidR="008A608F" w:rsidRPr="00301959">
              <w:rPr>
                <w:rFonts w:ascii="Times New Roman" w:hAnsi="Times New Roman"/>
                <w:color w:val="000000"/>
                <w:sz w:val="21"/>
                <w:szCs w:val="21"/>
              </w:rPr>
              <w:t>ektor mikro-, małych i średnich przedsiębiorstw</w:t>
            </w:r>
          </w:p>
        </w:tc>
        <w:tc>
          <w:tcPr>
            <w:tcW w:w="7048" w:type="dxa"/>
            <w:gridSpan w:val="22"/>
            <w:shd w:val="clear" w:color="auto" w:fill="FFFFFF"/>
          </w:tcPr>
          <w:p w14:paraId="071F5AF3" w14:textId="77777777" w:rsidR="00585E9E" w:rsidRDefault="00585E9E" w:rsidP="00811D46">
            <w:pPr>
              <w:spacing w:line="240" w:lineRule="auto"/>
              <w:rPr>
                <w:rFonts w:ascii="Times New Roman" w:hAnsi="Times New Roman"/>
                <w:color w:val="000000"/>
                <w:spacing w:val="-2"/>
                <w:sz w:val="21"/>
                <w:szCs w:val="21"/>
              </w:rPr>
            </w:pPr>
          </w:p>
          <w:p w14:paraId="58F0D05A" w14:textId="39F0D91D" w:rsidR="008A608F" w:rsidRPr="00B37C80" w:rsidRDefault="009A6E82" w:rsidP="00811D46">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b</w:t>
            </w:r>
            <w:r w:rsidR="00585E9E" w:rsidRPr="00585E9E">
              <w:rPr>
                <w:rFonts w:ascii="Times New Roman" w:hAnsi="Times New Roman"/>
                <w:color w:val="000000"/>
                <w:spacing w:val="-2"/>
                <w:sz w:val="21"/>
                <w:szCs w:val="21"/>
              </w:rPr>
              <w:t>rak wpływu</w:t>
            </w:r>
          </w:p>
        </w:tc>
      </w:tr>
      <w:tr w:rsidR="009E3C4B" w:rsidRPr="008B4FE6" w14:paraId="180F2355" w14:textId="77777777" w:rsidTr="00676C8D">
        <w:trPr>
          <w:gridAfter w:val="1"/>
          <w:wAfter w:w="10" w:type="dxa"/>
          <w:trHeight w:val="596"/>
        </w:trPr>
        <w:tc>
          <w:tcPr>
            <w:tcW w:w="1596" w:type="dxa"/>
            <w:vMerge/>
            <w:shd w:val="clear" w:color="auto" w:fill="FFFFFF"/>
          </w:tcPr>
          <w:p w14:paraId="2C7B7789" w14:textId="77777777" w:rsidR="009E3C4B" w:rsidRPr="00301959" w:rsidRDefault="009E3C4B" w:rsidP="00811D46">
            <w:pPr>
              <w:spacing w:line="240" w:lineRule="auto"/>
              <w:rPr>
                <w:rFonts w:ascii="Times New Roman" w:hAnsi="Times New Roman"/>
                <w:color w:val="000000"/>
                <w:sz w:val="21"/>
                <w:szCs w:val="21"/>
              </w:rPr>
            </w:pPr>
          </w:p>
        </w:tc>
        <w:tc>
          <w:tcPr>
            <w:tcW w:w="2293" w:type="dxa"/>
            <w:gridSpan w:val="6"/>
            <w:shd w:val="clear" w:color="auto" w:fill="FFFFFF"/>
          </w:tcPr>
          <w:p w14:paraId="17A593FF" w14:textId="77777777" w:rsidR="009E3C4B" w:rsidRPr="00301959" w:rsidRDefault="00A92BAF" w:rsidP="00955774">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009E3C4B" w:rsidRPr="00301959">
              <w:rPr>
                <w:rFonts w:ascii="Times New Roman" w:hAnsi="Times New Roman"/>
                <w:sz w:val="21"/>
                <w:szCs w:val="21"/>
              </w:rPr>
              <w:t>obywatele oraz gospodarstwa domowe</w:t>
            </w:r>
            <w:r w:rsidR="009E3C4B" w:rsidRPr="00301959">
              <w:rPr>
                <w:rFonts w:ascii="Times New Roman" w:hAnsi="Times New Roman"/>
                <w:color w:val="000000"/>
                <w:sz w:val="21"/>
                <w:szCs w:val="21"/>
              </w:rPr>
              <w:t xml:space="preserve"> </w:t>
            </w:r>
          </w:p>
        </w:tc>
        <w:tc>
          <w:tcPr>
            <w:tcW w:w="7048" w:type="dxa"/>
            <w:gridSpan w:val="22"/>
            <w:shd w:val="clear" w:color="auto" w:fill="FFFFFF"/>
          </w:tcPr>
          <w:p w14:paraId="462B4D37" w14:textId="77777777" w:rsidR="00585E9E" w:rsidRDefault="00585E9E" w:rsidP="00955774">
            <w:pPr>
              <w:spacing w:line="240" w:lineRule="auto"/>
              <w:rPr>
                <w:rFonts w:ascii="Times New Roman" w:hAnsi="Times New Roman"/>
                <w:color w:val="000000"/>
                <w:spacing w:val="-2"/>
                <w:sz w:val="21"/>
                <w:szCs w:val="21"/>
              </w:rPr>
            </w:pPr>
          </w:p>
          <w:p w14:paraId="063E1DF0" w14:textId="7A624AB5" w:rsidR="009E3C4B" w:rsidRPr="00B37C80" w:rsidRDefault="009A6E82" w:rsidP="00955774">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b</w:t>
            </w:r>
            <w:r w:rsidR="00585E9E" w:rsidRPr="00585E9E">
              <w:rPr>
                <w:rFonts w:ascii="Times New Roman" w:hAnsi="Times New Roman"/>
                <w:color w:val="000000"/>
                <w:spacing w:val="-2"/>
                <w:sz w:val="21"/>
                <w:szCs w:val="21"/>
              </w:rPr>
              <w:t>rak wpływu</w:t>
            </w:r>
          </w:p>
        </w:tc>
      </w:tr>
      <w:tr w:rsidR="008A608F" w:rsidRPr="008B4FE6" w14:paraId="5EF2721F" w14:textId="77777777" w:rsidTr="00676C8D">
        <w:trPr>
          <w:gridAfter w:val="1"/>
          <w:wAfter w:w="10" w:type="dxa"/>
          <w:trHeight w:val="240"/>
        </w:trPr>
        <w:tc>
          <w:tcPr>
            <w:tcW w:w="1596" w:type="dxa"/>
            <w:vMerge/>
            <w:shd w:val="clear" w:color="auto" w:fill="FFFFFF"/>
          </w:tcPr>
          <w:p w14:paraId="17CB2EA0" w14:textId="77777777" w:rsidR="008A608F" w:rsidRPr="00301959" w:rsidRDefault="008A608F" w:rsidP="00811D46">
            <w:pPr>
              <w:spacing w:line="240" w:lineRule="auto"/>
              <w:rPr>
                <w:rFonts w:ascii="Times New Roman" w:hAnsi="Times New Roman"/>
                <w:color w:val="000000"/>
                <w:sz w:val="21"/>
                <w:szCs w:val="21"/>
              </w:rPr>
            </w:pPr>
          </w:p>
        </w:tc>
        <w:tc>
          <w:tcPr>
            <w:tcW w:w="2293" w:type="dxa"/>
            <w:gridSpan w:val="6"/>
            <w:shd w:val="clear" w:color="auto" w:fill="FFFFFF"/>
          </w:tcPr>
          <w:p w14:paraId="68C8732F" w14:textId="77777777" w:rsidR="00585E9E" w:rsidRPr="00585E9E" w:rsidRDefault="00585E9E" w:rsidP="00585E9E">
            <w:pPr>
              <w:spacing w:line="240" w:lineRule="auto"/>
              <w:rPr>
                <w:rFonts w:ascii="Times New Roman" w:hAnsi="Times New Roman"/>
                <w:color w:val="000000"/>
                <w:sz w:val="21"/>
                <w:szCs w:val="21"/>
              </w:rPr>
            </w:pPr>
            <w:r w:rsidRPr="00585E9E">
              <w:rPr>
                <w:rFonts w:ascii="Times New Roman" w:hAnsi="Times New Roman"/>
                <w:color w:val="000000"/>
                <w:sz w:val="21"/>
                <w:szCs w:val="21"/>
              </w:rPr>
              <w:t xml:space="preserve">osoby starsze </w:t>
            </w:r>
          </w:p>
          <w:p w14:paraId="6CF7C1B7" w14:textId="77777777" w:rsidR="008A608F" w:rsidRPr="00301959" w:rsidRDefault="00585E9E" w:rsidP="00585E9E">
            <w:pPr>
              <w:tabs>
                <w:tab w:val="right" w:pos="1936"/>
              </w:tabs>
              <w:rPr>
                <w:rFonts w:ascii="Times New Roman" w:hAnsi="Times New Roman"/>
                <w:sz w:val="21"/>
                <w:szCs w:val="21"/>
              </w:rPr>
            </w:pPr>
            <w:r w:rsidRPr="00585E9E">
              <w:rPr>
                <w:rFonts w:ascii="Times New Roman" w:hAnsi="Times New Roman"/>
                <w:color w:val="000000"/>
                <w:sz w:val="21"/>
                <w:szCs w:val="21"/>
              </w:rPr>
              <w:t>i osoby niepełnosprawne</w:t>
            </w:r>
          </w:p>
        </w:tc>
        <w:tc>
          <w:tcPr>
            <w:tcW w:w="7048" w:type="dxa"/>
            <w:gridSpan w:val="22"/>
            <w:shd w:val="clear" w:color="auto" w:fill="FFFFFF"/>
          </w:tcPr>
          <w:p w14:paraId="77CF7C0B" w14:textId="77777777" w:rsidR="00585E9E" w:rsidRDefault="00585E9E" w:rsidP="00811D46">
            <w:pPr>
              <w:tabs>
                <w:tab w:val="left" w:pos="3000"/>
              </w:tabs>
              <w:rPr>
                <w:rFonts w:ascii="Times New Roman" w:hAnsi="Times New Roman"/>
                <w:color w:val="000000"/>
                <w:spacing w:val="-2"/>
                <w:sz w:val="21"/>
                <w:szCs w:val="21"/>
              </w:rPr>
            </w:pPr>
          </w:p>
          <w:p w14:paraId="6DD6A7DB" w14:textId="22293533" w:rsidR="008A608F" w:rsidRPr="00B37C80" w:rsidRDefault="009A6E82" w:rsidP="00811D46">
            <w:pPr>
              <w:tabs>
                <w:tab w:val="left" w:pos="3000"/>
              </w:tabs>
              <w:rPr>
                <w:rFonts w:ascii="Times New Roman" w:hAnsi="Times New Roman"/>
                <w:color w:val="000000"/>
                <w:spacing w:val="-2"/>
                <w:sz w:val="21"/>
                <w:szCs w:val="21"/>
              </w:rPr>
            </w:pPr>
            <w:r>
              <w:rPr>
                <w:rFonts w:ascii="Times New Roman" w:hAnsi="Times New Roman"/>
                <w:color w:val="000000"/>
                <w:spacing w:val="-2"/>
                <w:sz w:val="21"/>
                <w:szCs w:val="21"/>
              </w:rPr>
              <w:t>b</w:t>
            </w:r>
            <w:r w:rsidR="00585E9E" w:rsidRPr="00585E9E">
              <w:rPr>
                <w:rFonts w:ascii="Times New Roman" w:hAnsi="Times New Roman"/>
                <w:color w:val="000000"/>
                <w:spacing w:val="-2"/>
                <w:sz w:val="21"/>
                <w:szCs w:val="21"/>
              </w:rPr>
              <w:t>rak wpływu</w:t>
            </w:r>
          </w:p>
        </w:tc>
      </w:tr>
      <w:tr w:rsidR="005E7371" w:rsidRPr="008B4FE6" w14:paraId="4C7378B4" w14:textId="77777777" w:rsidTr="00676C8D">
        <w:trPr>
          <w:gridAfter w:val="1"/>
          <w:wAfter w:w="10" w:type="dxa"/>
          <w:trHeight w:val="142"/>
        </w:trPr>
        <w:tc>
          <w:tcPr>
            <w:tcW w:w="1596" w:type="dxa"/>
            <w:shd w:val="clear" w:color="auto" w:fill="FFFFFF"/>
          </w:tcPr>
          <w:p w14:paraId="1610E8F4" w14:textId="77777777" w:rsidR="005E7371" w:rsidRPr="00301959" w:rsidRDefault="005E737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14:paraId="21C59C61" w14:textId="77777777" w:rsidR="005E7371" w:rsidRPr="00301959" w:rsidRDefault="005E7371" w:rsidP="00811D46">
            <w:pPr>
              <w:spacing w:line="240" w:lineRule="auto"/>
              <w:rPr>
                <w:rFonts w:ascii="Times New Roman" w:hAnsi="Times New Roman"/>
                <w:color w:val="000000"/>
                <w:sz w:val="21"/>
                <w:szCs w:val="21"/>
              </w:rPr>
            </w:pPr>
          </w:p>
        </w:tc>
        <w:tc>
          <w:tcPr>
            <w:tcW w:w="7048" w:type="dxa"/>
            <w:gridSpan w:val="22"/>
            <w:shd w:val="clear" w:color="auto" w:fill="FFFFFF"/>
          </w:tcPr>
          <w:p w14:paraId="350CF082" w14:textId="03021B8D" w:rsidR="005E7371" w:rsidRPr="00B37C80" w:rsidRDefault="009A6E82" w:rsidP="00811D46">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b</w:t>
            </w:r>
            <w:r w:rsidR="001C0044">
              <w:rPr>
                <w:rFonts w:ascii="Times New Roman" w:hAnsi="Times New Roman"/>
                <w:color w:val="000000"/>
                <w:spacing w:val="-2"/>
                <w:sz w:val="21"/>
                <w:szCs w:val="21"/>
              </w:rPr>
              <w:t>rak</w:t>
            </w:r>
          </w:p>
        </w:tc>
      </w:tr>
      <w:tr w:rsidR="00E24BD7" w:rsidRPr="008B4FE6" w14:paraId="6D376B79" w14:textId="77777777" w:rsidTr="00585E9E">
        <w:trPr>
          <w:gridAfter w:val="1"/>
          <w:wAfter w:w="10" w:type="dxa"/>
          <w:trHeight w:val="1239"/>
        </w:trPr>
        <w:tc>
          <w:tcPr>
            <w:tcW w:w="2243" w:type="dxa"/>
            <w:gridSpan w:val="2"/>
            <w:shd w:val="clear" w:color="auto" w:fill="FFFFFF"/>
          </w:tcPr>
          <w:p w14:paraId="04EA6431" w14:textId="77777777" w:rsidR="00E24BD7" w:rsidRPr="00301959" w:rsidRDefault="00E24BD7"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4" w:type="dxa"/>
            <w:gridSpan w:val="27"/>
            <w:shd w:val="clear" w:color="auto" w:fill="FFFFFF"/>
            <w:vAlign w:val="center"/>
          </w:tcPr>
          <w:p w14:paraId="2F125443" w14:textId="669AF30E" w:rsidR="00E24BD7" w:rsidRPr="00301959" w:rsidRDefault="009A6E82" w:rsidP="00B37C80">
            <w:pPr>
              <w:spacing w:line="240" w:lineRule="auto"/>
              <w:jc w:val="both"/>
              <w:rPr>
                <w:rFonts w:ascii="Times New Roman" w:hAnsi="Times New Roman"/>
                <w:color w:val="000000"/>
                <w:sz w:val="21"/>
                <w:szCs w:val="21"/>
              </w:rPr>
            </w:pPr>
            <w:r>
              <w:rPr>
                <w:rFonts w:ascii="Times New Roman" w:hAnsi="Times New Roman"/>
                <w:color w:val="000000"/>
                <w:sz w:val="21"/>
                <w:szCs w:val="21"/>
              </w:rPr>
              <w:t>b</w:t>
            </w:r>
            <w:r w:rsidR="00971684">
              <w:rPr>
                <w:rFonts w:ascii="Times New Roman" w:hAnsi="Times New Roman"/>
                <w:color w:val="000000"/>
                <w:sz w:val="21"/>
                <w:szCs w:val="21"/>
              </w:rPr>
              <w:t>rak</w:t>
            </w:r>
          </w:p>
        </w:tc>
      </w:tr>
      <w:tr w:rsidR="006A701A" w:rsidRPr="008B4FE6" w14:paraId="12AB8255" w14:textId="77777777" w:rsidTr="00676C8D">
        <w:trPr>
          <w:gridAfter w:val="1"/>
          <w:wAfter w:w="10" w:type="dxa"/>
          <w:trHeight w:val="342"/>
        </w:trPr>
        <w:tc>
          <w:tcPr>
            <w:tcW w:w="10937" w:type="dxa"/>
            <w:gridSpan w:val="29"/>
            <w:shd w:val="clear" w:color="auto" w:fill="99CCFF"/>
            <w:vAlign w:val="center"/>
          </w:tcPr>
          <w:p w14:paraId="0222F8B2" w14:textId="77777777" w:rsidR="006A701A" w:rsidRPr="008B4FE6" w:rsidRDefault="006A701A" w:rsidP="004F4E17">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sidR="00FA117A">
              <w:rPr>
                <w:rFonts w:ascii="Times New Roman" w:hAnsi="Times New Roman"/>
                <w:b/>
                <w:color w:val="000000"/>
              </w:rPr>
              <w:t>Zmiana o</w:t>
            </w:r>
            <w:r w:rsidRPr="008B4FE6">
              <w:rPr>
                <w:rFonts w:ascii="Times New Roman" w:hAnsi="Times New Roman"/>
                <w:b/>
                <w:color w:val="000000"/>
              </w:rPr>
              <w:t>bciąże</w:t>
            </w:r>
            <w:r w:rsidR="00FA117A">
              <w:rPr>
                <w:rFonts w:ascii="Times New Roman" w:hAnsi="Times New Roman"/>
                <w:b/>
                <w:color w:val="000000"/>
              </w:rPr>
              <w:t>ń</w:t>
            </w:r>
            <w:r w:rsidRPr="008B4FE6">
              <w:rPr>
                <w:rFonts w:ascii="Times New Roman" w:hAnsi="Times New Roman"/>
                <w:b/>
                <w:color w:val="000000"/>
              </w:rPr>
              <w:t xml:space="preserve"> regulacyjn</w:t>
            </w:r>
            <w:r w:rsidR="00FA117A">
              <w:rPr>
                <w:rFonts w:ascii="Times New Roman" w:hAnsi="Times New Roman"/>
                <w:b/>
                <w:color w:val="000000"/>
              </w:rPr>
              <w:t>ych</w:t>
            </w:r>
            <w:r w:rsidR="00653688">
              <w:rPr>
                <w:rFonts w:ascii="Times New Roman" w:hAnsi="Times New Roman"/>
                <w:b/>
                <w:color w:val="000000"/>
              </w:rPr>
              <w:t xml:space="preserve"> (w tym obowiązk</w:t>
            </w:r>
            <w:r w:rsidR="00FA117A">
              <w:rPr>
                <w:rFonts w:ascii="Times New Roman" w:hAnsi="Times New Roman"/>
                <w:b/>
                <w:color w:val="000000"/>
              </w:rPr>
              <w:t xml:space="preserve">ów </w:t>
            </w:r>
            <w:r w:rsidR="00653688">
              <w:rPr>
                <w:rFonts w:ascii="Times New Roman" w:hAnsi="Times New Roman"/>
                <w:b/>
                <w:color w:val="000000"/>
              </w:rPr>
              <w:t>informacyjn</w:t>
            </w:r>
            <w:r w:rsidR="00FA117A">
              <w:rPr>
                <w:rFonts w:ascii="Times New Roman" w:hAnsi="Times New Roman"/>
                <w:b/>
                <w:color w:val="000000"/>
              </w:rPr>
              <w:t>ych</w:t>
            </w:r>
            <w:r w:rsidR="00653688">
              <w:rPr>
                <w:rFonts w:ascii="Times New Roman" w:hAnsi="Times New Roman"/>
                <w:b/>
                <w:color w:val="000000"/>
              </w:rPr>
              <w:t>)</w:t>
            </w:r>
            <w:r w:rsidRPr="008B4FE6">
              <w:rPr>
                <w:rFonts w:ascii="Times New Roman" w:hAnsi="Times New Roman"/>
                <w:b/>
                <w:color w:val="000000"/>
              </w:rPr>
              <w:t xml:space="preserve"> wynikając</w:t>
            </w:r>
            <w:r w:rsidR="00FA117A">
              <w:rPr>
                <w:rFonts w:ascii="Times New Roman" w:hAnsi="Times New Roman"/>
                <w:b/>
                <w:color w:val="000000"/>
              </w:rPr>
              <w:t>ych</w:t>
            </w:r>
            <w:r w:rsidRPr="008B4FE6">
              <w:rPr>
                <w:rFonts w:ascii="Times New Roman" w:hAnsi="Times New Roman"/>
                <w:b/>
                <w:color w:val="000000"/>
              </w:rPr>
              <w:t xml:space="preserve"> z projektu</w:t>
            </w:r>
          </w:p>
        </w:tc>
      </w:tr>
      <w:tr w:rsidR="00D86AFF" w:rsidRPr="008B4FE6" w14:paraId="026CCD47" w14:textId="77777777" w:rsidTr="00676C8D">
        <w:trPr>
          <w:gridAfter w:val="1"/>
          <w:wAfter w:w="10" w:type="dxa"/>
          <w:trHeight w:val="151"/>
        </w:trPr>
        <w:tc>
          <w:tcPr>
            <w:tcW w:w="10937" w:type="dxa"/>
            <w:gridSpan w:val="29"/>
            <w:shd w:val="clear" w:color="auto" w:fill="FFFFFF"/>
          </w:tcPr>
          <w:p w14:paraId="58B3BD2A" w14:textId="77777777" w:rsidR="00D86AFF" w:rsidRPr="008B4FE6" w:rsidRDefault="00D86AFF" w:rsidP="004F4E17">
            <w:pPr>
              <w:spacing w:line="240" w:lineRule="auto"/>
              <w:rPr>
                <w:rFonts w:ascii="Times New Roman" w:hAnsi="Times New Roman"/>
                <w:color w:val="000000"/>
              </w:rPr>
            </w:pPr>
            <w:r w:rsidRPr="001A5FDA">
              <w:rPr>
                <w:rFonts w:ascii="Times New Roman" w:hAnsi="Times New Roman"/>
                <w:color w:val="000000"/>
              </w:rPr>
              <w:fldChar w:fldCharType="begin">
                <w:ffData>
                  <w:name w:val="Wybór1"/>
                  <w:enabled/>
                  <w:calcOnExit w:val="0"/>
                  <w:checkBox>
                    <w:sizeAuto/>
                    <w:default w:val="0"/>
                  </w:checkBox>
                </w:ffData>
              </w:fldChar>
            </w:r>
            <w:r w:rsidRPr="001A5FDA">
              <w:rPr>
                <w:rFonts w:ascii="Times New Roman" w:hAnsi="Times New Roman"/>
                <w:color w:val="000000"/>
              </w:rPr>
              <w:instrText xml:space="preserve"> FORMCHECKBOX </w:instrText>
            </w:r>
            <w:r w:rsidRPr="001A5FDA">
              <w:rPr>
                <w:rFonts w:ascii="Times New Roman" w:hAnsi="Times New Roman"/>
                <w:color w:val="000000"/>
              </w:rPr>
            </w:r>
            <w:r w:rsidRPr="001A5FDA">
              <w:rPr>
                <w:rFonts w:ascii="Times New Roman" w:hAnsi="Times New Roman"/>
                <w:color w:val="000000"/>
              </w:rPr>
              <w:fldChar w:fldCharType="separate"/>
            </w:r>
            <w:r w:rsidRPr="001A5FDA">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D86AFF" w:rsidRPr="008B4FE6" w14:paraId="137B3A9D" w14:textId="77777777" w:rsidTr="00676C8D">
        <w:trPr>
          <w:gridAfter w:val="1"/>
          <w:wAfter w:w="10" w:type="dxa"/>
          <w:trHeight w:val="946"/>
        </w:trPr>
        <w:tc>
          <w:tcPr>
            <w:tcW w:w="5111" w:type="dxa"/>
            <w:gridSpan w:val="12"/>
            <w:shd w:val="clear" w:color="auto" w:fill="FFFFFF"/>
          </w:tcPr>
          <w:p w14:paraId="230BC82E" w14:textId="77777777" w:rsidR="00D86AFF" w:rsidRDefault="00D86AFF" w:rsidP="001B3460">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14:paraId="160B46B6" w14:textId="77777777" w:rsidR="00D86AFF" w:rsidRDefault="00D86AFF" w:rsidP="004F4E17">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tak</w:t>
            </w:r>
          </w:p>
          <w:p w14:paraId="49A46EDC" w14:textId="77777777" w:rsidR="00D86AFF" w:rsidRDefault="00D86AFF" w:rsidP="004F4E17">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443DD759" w14:textId="77777777" w:rsidR="00D86AFF" w:rsidRDefault="00B749D7" w:rsidP="004F4E17">
            <w:pPr>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D86AFF">
              <w:rPr>
                <w:rFonts w:ascii="Times New Roman" w:hAnsi="Times New Roman"/>
                <w:color w:val="000000"/>
              </w:rPr>
              <w:t xml:space="preserve"> nie dotyczy</w:t>
            </w:r>
          </w:p>
        </w:tc>
      </w:tr>
      <w:tr w:rsidR="001B3460" w:rsidRPr="008B4FE6" w14:paraId="215C0D87" w14:textId="77777777" w:rsidTr="00676C8D">
        <w:trPr>
          <w:gridAfter w:val="1"/>
          <w:wAfter w:w="10" w:type="dxa"/>
          <w:trHeight w:val="1245"/>
        </w:trPr>
        <w:tc>
          <w:tcPr>
            <w:tcW w:w="5111" w:type="dxa"/>
            <w:gridSpan w:val="12"/>
            <w:shd w:val="clear" w:color="auto" w:fill="FFFFFF"/>
          </w:tcPr>
          <w:p w14:paraId="7984653C" w14:textId="5937ABAD" w:rsidR="001B3460" w:rsidRPr="008B4FE6" w:rsidRDefault="00E1628D" w:rsidP="00AE6CF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B3460" w:rsidRPr="008B4FE6">
              <w:rPr>
                <w:rFonts w:ascii="Times New Roman" w:hAnsi="Times New Roman"/>
                <w:color w:val="000000"/>
                <w:sz w:val="20"/>
                <w:szCs w:val="20"/>
              </w:rPr>
              <w:t xml:space="preserve"> </w:t>
            </w:r>
            <w:r w:rsidR="001B3460" w:rsidRPr="008B4FE6">
              <w:rPr>
                <w:rFonts w:ascii="Times New Roman" w:hAnsi="Times New Roman"/>
                <w:color w:val="000000"/>
                <w:spacing w:val="-2"/>
              </w:rPr>
              <w:t>zmniejszenie liczby dokumentów</w:t>
            </w:r>
            <w:r w:rsidR="001B3460">
              <w:rPr>
                <w:rFonts w:ascii="Times New Roman" w:hAnsi="Times New Roman"/>
                <w:color w:val="000000"/>
                <w:spacing w:val="-2"/>
              </w:rPr>
              <w:t xml:space="preserve"> </w:t>
            </w:r>
          </w:p>
          <w:p w14:paraId="672CA495" w14:textId="77777777" w:rsidR="001B3460" w:rsidRPr="008B4FE6" w:rsidRDefault="001B3460"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36B2D6A6" w14:textId="7C4844E4" w:rsidR="001B3460" w:rsidRDefault="00EE0DD8" w:rsidP="00AE6CF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B3460" w:rsidRPr="008B4FE6">
              <w:rPr>
                <w:rFonts w:ascii="Times New Roman" w:hAnsi="Times New Roman"/>
                <w:color w:val="000000"/>
                <w:sz w:val="20"/>
                <w:szCs w:val="20"/>
              </w:rPr>
              <w:t xml:space="preserve"> </w:t>
            </w:r>
            <w:r w:rsidR="001B3460" w:rsidRPr="008B4FE6">
              <w:rPr>
                <w:rFonts w:ascii="Times New Roman" w:hAnsi="Times New Roman"/>
                <w:color w:val="000000"/>
                <w:spacing w:val="-2"/>
              </w:rPr>
              <w:t>skrócenie czasu</w:t>
            </w:r>
            <w:r w:rsidR="00CF5F4F">
              <w:rPr>
                <w:rFonts w:ascii="Times New Roman" w:hAnsi="Times New Roman"/>
                <w:color w:val="000000"/>
                <w:spacing w:val="-2"/>
              </w:rPr>
              <w:t xml:space="preserve"> na załatwienie sprawy</w:t>
            </w:r>
          </w:p>
          <w:p w14:paraId="05E17513" w14:textId="484EB6EF" w:rsidR="001B3460" w:rsidRPr="008B4FE6" w:rsidRDefault="00E1628D" w:rsidP="00AE6CF8">
            <w:pPr>
              <w:rPr>
                <w:rFonts w:ascii="Times New Roman" w:hAnsi="Times New Roman"/>
                <w:b/>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B3460" w:rsidRPr="008B4FE6">
              <w:rPr>
                <w:rFonts w:ascii="Times New Roman" w:hAnsi="Times New Roman"/>
                <w:color w:val="000000"/>
                <w:sz w:val="20"/>
                <w:szCs w:val="20"/>
              </w:rPr>
              <w:t xml:space="preserve"> </w:t>
            </w:r>
            <w:r w:rsidR="001B3460" w:rsidRPr="008B4FE6">
              <w:rPr>
                <w:rFonts w:ascii="Times New Roman" w:hAnsi="Times New Roman"/>
                <w:color w:val="000000"/>
                <w:spacing w:val="-2"/>
              </w:rPr>
              <w:t>inne:</w:t>
            </w:r>
            <w:r w:rsidR="001B3460" w:rsidRPr="008B4FE6">
              <w:rPr>
                <w:rFonts w:ascii="Times New Roman" w:hAnsi="Times New Roman"/>
                <w:color w:val="000000"/>
              </w:rPr>
              <w:t xml:space="preserve"> </w:t>
            </w:r>
            <w:r w:rsidR="001B3460"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1B3460" w:rsidRPr="008B4FE6">
              <w:rPr>
                <w:rFonts w:ascii="Times New Roman" w:hAnsi="Times New Roman"/>
                <w:color w:val="000000"/>
              </w:rPr>
              <w:instrText xml:space="preserve"> FORMTEXT </w:instrText>
            </w:r>
            <w:r w:rsidR="001B3460" w:rsidRPr="008B4FE6">
              <w:rPr>
                <w:rFonts w:ascii="Times New Roman" w:hAnsi="Times New Roman"/>
                <w:color w:val="000000"/>
              </w:rPr>
            </w:r>
            <w:r w:rsidR="001B3460" w:rsidRPr="008B4FE6">
              <w:rPr>
                <w:rFonts w:ascii="Times New Roman" w:hAnsi="Times New Roman"/>
                <w:color w:val="000000"/>
              </w:rPr>
              <w:fldChar w:fldCharType="separate"/>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hAnsi="Times New Roman"/>
                <w:color w:val="000000"/>
              </w:rPr>
              <w:fldChar w:fldCharType="end"/>
            </w:r>
          </w:p>
        </w:tc>
        <w:tc>
          <w:tcPr>
            <w:tcW w:w="5826" w:type="dxa"/>
            <w:gridSpan w:val="17"/>
            <w:shd w:val="clear" w:color="auto" w:fill="FFFFFF"/>
          </w:tcPr>
          <w:p w14:paraId="35551A6B" w14:textId="77777777" w:rsidR="001B3460" w:rsidRPr="008B4FE6" w:rsidRDefault="001B3460"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1CE33D69" w14:textId="77777777" w:rsidR="001B3460" w:rsidRPr="008B4FE6" w:rsidRDefault="001B3460"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54B7A402" w14:textId="77777777" w:rsidR="001B3460" w:rsidRPr="008B4FE6" w:rsidRDefault="001B3460"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sidR="00CF5F4F">
              <w:rPr>
                <w:rFonts w:ascii="Times New Roman" w:hAnsi="Times New Roman"/>
                <w:color w:val="000000"/>
                <w:spacing w:val="-2"/>
              </w:rPr>
              <w:t xml:space="preserve"> na załatwienie sprawy</w:t>
            </w:r>
          </w:p>
          <w:p w14:paraId="241BC9C7" w14:textId="44083087" w:rsidR="001B3460" w:rsidRPr="008B4FE6" w:rsidRDefault="00E1628D" w:rsidP="00AE6CF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B3460" w:rsidRPr="008B4FE6">
              <w:rPr>
                <w:rFonts w:ascii="Times New Roman" w:hAnsi="Times New Roman"/>
                <w:color w:val="000000"/>
                <w:sz w:val="20"/>
                <w:szCs w:val="20"/>
              </w:rPr>
              <w:t xml:space="preserve"> </w:t>
            </w:r>
            <w:r w:rsidR="001B3460" w:rsidRPr="008B4FE6">
              <w:rPr>
                <w:rFonts w:ascii="Times New Roman" w:hAnsi="Times New Roman"/>
                <w:color w:val="000000"/>
                <w:spacing w:val="-2"/>
              </w:rPr>
              <w:t>inne:</w:t>
            </w:r>
            <w:r w:rsidR="001B3460" w:rsidRPr="008B4FE6">
              <w:rPr>
                <w:rFonts w:ascii="Times New Roman" w:hAnsi="Times New Roman"/>
                <w:color w:val="000000"/>
              </w:rPr>
              <w:t xml:space="preserve"> </w:t>
            </w:r>
            <w:r w:rsidR="001B3460"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1B3460" w:rsidRPr="008B4FE6">
              <w:rPr>
                <w:rFonts w:ascii="Times New Roman" w:hAnsi="Times New Roman"/>
                <w:color w:val="000000"/>
              </w:rPr>
              <w:instrText xml:space="preserve"> FORMTEXT </w:instrText>
            </w:r>
            <w:r w:rsidR="001B3460" w:rsidRPr="008B4FE6">
              <w:rPr>
                <w:rFonts w:ascii="Times New Roman" w:hAnsi="Times New Roman"/>
                <w:color w:val="000000"/>
              </w:rPr>
            </w:r>
            <w:r w:rsidR="001B3460" w:rsidRPr="008B4FE6">
              <w:rPr>
                <w:rFonts w:ascii="Times New Roman" w:hAnsi="Times New Roman"/>
                <w:color w:val="000000"/>
              </w:rPr>
              <w:fldChar w:fldCharType="separate"/>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hAnsi="Times New Roman"/>
                <w:color w:val="000000"/>
              </w:rPr>
              <w:fldChar w:fldCharType="end"/>
            </w:r>
          </w:p>
          <w:p w14:paraId="5918A418" w14:textId="77777777" w:rsidR="001B3460" w:rsidRPr="008B4FE6" w:rsidRDefault="001B3460" w:rsidP="00AE6CF8">
            <w:pPr>
              <w:spacing w:line="240" w:lineRule="auto"/>
              <w:rPr>
                <w:rFonts w:ascii="Times New Roman" w:hAnsi="Times New Roman"/>
                <w:color w:val="000000"/>
              </w:rPr>
            </w:pPr>
          </w:p>
        </w:tc>
      </w:tr>
      <w:tr w:rsidR="00BF0DA2" w:rsidRPr="008B4FE6" w14:paraId="45F8AA93" w14:textId="77777777" w:rsidTr="00C26BFB">
        <w:trPr>
          <w:gridAfter w:val="1"/>
          <w:wAfter w:w="10" w:type="dxa"/>
          <w:trHeight w:val="897"/>
        </w:trPr>
        <w:tc>
          <w:tcPr>
            <w:tcW w:w="5111" w:type="dxa"/>
            <w:gridSpan w:val="12"/>
            <w:shd w:val="clear" w:color="auto" w:fill="FFFFFF"/>
          </w:tcPr>
          <w:p w14:paraId="637FC198" w14:textId="77777777" w:rsidR="00BF0DA2" w:rsidRPr="008B4FE6" w:rsidRDefault="00BF0DA2" w:rsidP="004F4E17">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14:paraId="3732BDFC" w14:textId="763B88C0" w:rsidR="00BF0DA2" w:rsidRDefault="00E1628D" w:rsidP="00BF0DA2">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BF0DA2">
              <w:rPr>
                <w:rFonts w:ascii="Times New Roman" w:hAnsi="Times New Roman"/>
                <w:color w:val="000000"/>
              </w:rPr>
              <w:t xml:space="preserve"> tak</w:t>
            </w:r>
          </w:p>
          <w:p w14:paraId="30AF3740" w14:textId="77777777" w:rsidR="00BF0DA2" w:rsidRDefault="00BF0DA2" w:rsidP="00BF0DA2">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4CE76FC3" w14:textId="155330A8" w:rsidR="00BF0DA2" w:rsidRDefault="00E1628D" w:rsidP="00BF0DA2">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BF0DA2">
              <w:rPr>
                <w:rFonts w:ascii="Times New Roman" w:hAnsi="Times New Roman"/>
                <w:color w:val="000000"/>
              </w:rPr>
              <w:t xml:space="preserve"> nie dotyczy</w:t>
            </w:r>
          </w:p>
          <w:p w14:paraId="65B759B0" w14:textId="77777777" w:rsidR="00117017" w:rsidRPr="008B4FE6" w:rsidRDefault="00117017" w:rsidP="00BF0DA2">
            <w:pPr>
              <w:spacing w:line="240" w:lineRule="auto"/>
              <w:rPr>
                <w:rFonts w:ascii="Times New Roman" w:hAnsi="Times New Roman"/>
                <w:color w:val="000000"/>
              </w:rPr>
            </w:pPr>
          </w:p>
        </w:tc>
      </w:tr>
      <w:tr w:rsidR="00117017" w:rsidRPr="008B4FE6" w14:paraId="00EA078F" w14:textId="77777777" w:rsidTr="00C26BFB">
        <w:trPr>
          <w:gridAfter w:val="1"/>
          <w:wAfter w:w="10" w:type="dxa"/>
          <w:trHeight w:val="444"/>
        </w:trPr>
        <w:tc>
          <w:tcPr>
            <w:tcW w:w="10937" w:type="dxa"/>
            <w:gridSpan w:val="29"/>
            <w:shd w:val="clear" w:color="auto" w:fill="FFFFFF"/>
          </w:tcPr>
          <w:p w14:paraId="401D26A2" w14:textId="11B3BC95" w:rsidR="00117017" w:rsidRDefault="00E1628D" w:rsidP="00B749D7">
            <w:pPr>
              <w:spacing w:before="120" w:after="120" w:line="240" w:lineRule="auto"/>
              <w:jc w:val="both"/>
              <w:rPr>
                <w:rFonts w:ascii="Times New Roman" w:hAnsi="Times New Roman"/>
                <w:color w:val="000000"/>
              </w:rPr>
            </w:pPr>
            <w:r>
              <w:rPr>
                <w:rFonts w:ascii="Times New Roman" w:hAnsi="Times New Roman"/>
                <w:color w:val="000000"/>
              </w:rPr>
              <w:t xml:space="preserve">W ramach zmian wprowadzonych w algorytmie podziału subwencji i rezygnacji ze składnika </w:t>
            </w:r>
            <w:r w:rsidR="00766042">
              <w:rPr>
                <w:rFonts w:ascii="Times New Roman" w:hAnsi="Times New Roman"/>
                <w:color w:val="000000"/>
              </w:rPr>
              <w:t xml:space="preserve">umiędzynarodowienia </w:t>
            </w:r>
            <w:r>
              <w:rPr>
                <w:rFonts w:ascii="Times New Roman" w:hAnsi="Times New Roman"/>
                <w:color w:val="000000"/>
              </w:rPr>
              <w:t xml:space="preserve">oraz badawczo-rozwojowego a także zmian w składniku kadrowym, uczelnie medyczne nie będą musiały przekazywać do </w:t>
            </w:r>
            <w:r>
              <w:rPr>
                <w:rFonts w:ascii="Times New Roman" w:hAnsi="Times New Roman"/>
                <w:color w:val="000000"/>
              </w:rPr>
              <w:lastRenderedPageBreak/>
              <w:t>Ministerstwa Zdrowia formularzy PNT-01/s oraz danych dotyczących liczby profesorów</w:t>
            </w:r>
            <w:r w:rsidR="00E8062C">
              <w:rPr>
                <w:rFonts w:ascii="Times New Roman" w:hAnsi="Times New Roman"/>
                <w:color w:val="000000"/>
              </w:rPr>
              <w:t xml:space="preserve"> </w:t>
            </w:r>
            <w:r>
              <w:rPr>
                <w:rFonts w:ascii="Times New Roman" w:hAnsi="Times New Roman"/>
                <w:color w:val="000000"/>
              </w:rPr>
              <w:t>cudzoziemców</w:t>
            </w:r>
            <w:r w:rsidR="00766042">
              <w:rPr>
                <w:rFonts w:ascii="Times New Roman" w:hAnsi="Times New Roman"/>
                <w:color w:val="000000"/>
              </w:rPr>
              <w:t>,</w:t>
            </w:r>
            <w:r>
              <w:rPr>
                <w:rFonts w:ascii="Times New Roman" w:hAnsi="Times New Roman"/>
                <w:color w:val="000000"/>
              </w:rPr>
              <w:t xml:space="preserve"> którzy przeprowadzali wykłady w uczelni w poprzednim roku akademickim. </w:t>
            </w:r>
            <w:r w:rsidR="00692DD7">
              <w:rPr>
                <w:rFonts w:ascii="Times New Roman" w:hAnsi="Times New Roman"/>
                <w:color w:val="000000"/>
              </w:rPr>
              <w:t xml:space="preserve"> </w:t>
            </w:r>
          </w:p>
          <w:p w14:paraId="5392A3C5" w14:textId="77777777" w:rsidR="00E1628D" w:rsidRDefault="00E1628D" w:rsidP="00B749D7">
            <w:pPr>
              <w:spacing w:before="120" w:after="120" w:line="240" w:lineRule="auto"/>
              <w:jc w:val="both"/>
              <w:rPr>
                <w:rFonts w:ascii="Times New Roman" w:hAnsi="Times New Roman"/>
                <w:color w:val="000000"/>
              </w:rPr>
            </w:pPr>
            <w:r>
              <w:rPr>
                <w:rFonts w:ascii="Times New Roman" w:hAnsi="Times New Roman"/>
                <w:color w:val="000000"/>
              </w:rPr>
              <w:t>Natomiast w związku z wprowadzeniem składnika domów studenta, uczelnie będą zobligowane do przekazania do Ministerstwa Zdrowia informacji o liczbie studentów zakwaterowanych w domach studenta należących do uczelni.</w:t>
            </w:r>
          </w:p>
          <w:p w14:paraId="6FB4A9FB" w14:textId="247D915D" w:rsidR="00E1628D" w:rsidRPr="008B4FE6" w:rsidRDefault="00E1628D" w:rsidP="00E1628D">
            <w:pPr>
              <w:spacing w:before="120" w:after="120" w:line="240" w:lineRule="auto"/>
              <w:jc w:val="both"/>
              <w:rPr>
                <w:rFonts w:ascii="Times New Roman" w:hAnsi="Times New Roman"/>
                <w:color w:val="000000"/>
              </w:rPr>
            </w:pPr>
            <w:r>
              <w:rPr>
                <w:rFonts w:ascii="Times New Roman" w:hAnsi="Times New Roman"/>
                <w:color w:val="000000"/>
              </w:rPr>
              <w:t xml:space="preserve">Zmiany polegające na usunięciu składnika umiędzynarodowienia oraz dodaniu składnika klinicznego nie wpływają na zwiększenie lub zmniejszenie obciążeń biurokratycznych, gdyż te dane pobierane były i będą z </w:t>
            </w:r>
            <w:r w:rsidRPr="00E1628D">
              <w:rPr>
                <w:rFonts w:ascii="Times New Roman" w:hAnsi="Times New Roman"/>
                <w:color w:val="000000"/>
              </w:rPr>
              <w:t>Zintegrowan</w:t>
            </w:r>
            <w:r>
              <w:rPr>
                <w:rFonts w:ascii="Times New Roman" w:hAnsi="Times New Roman"/>
                <w:color w:val="000000"/>
              </w:rPr>
              <w:t>ego</w:t>
            </w:r>
            <w:r w:rsidRPr="00E1628D">
              <w:rPr>
                <w:rFonts w:ascii="Times New Roman" w:hAnsi="Times New Roman"/>
                <w:color w:val="000000"/>
              </w:rPr>
              <w:t xml:space="preserve"> System</w:t>
            </w:r>
            <w:r w:rsidR="000C3DE3">
              <w:rPr>
                <w:rFonts w:ascii="Times New Roman" w:hAnsi="Times New Roman"/>
                <w:color w:val="000000"/>
              </w:rPr>
              <w:t>u</w:t>
            </w:r>
            <w:r>
              <w:rPr>
                <w:rFonts w:ascii="Times New Roman" w:hAnsi="Times New Roman"/>
                <w:color w:val="000000"/>
              </w:rPr>
              <w:t xml:space="preserve"> </w:t>
            </w:r>
            <w:r w:rsidRPr="00E1628D">
              <w:rPr>
                <w:rFonts w:ascii="Times New Roman" w:hAnsi="Times New Roman"/>
                <w:color w:val="000000"/>
              </w:rPr>
              <w:t>Informacji o</w:t>
            </w:r>
            <w:r>
              <w:rPr>
                <w:rFonts w:ascii="Times New Roman" w:hAnsi="Times New Roman"/>
                <w:color w:val="000000"/>
              </w:rPr>
              <w:t xml:space="preserve"> </w:t>
            </w:r>
            <w:r w:rsidRPr="00E1628D">
              <w:rPr>
                <w:rFonts w:ascii="Times New Roman" w:hAnsi="Times New Roman"/>
                <w:color w:val="000000"/>
              </w:rPr>
              <w:t>Szkolnictwie Wyższym</w:t>
            </w:r>
            <w:r>
              <w:rPr>
                <w:rFonts w:ascii="Times New Roman" w:hAnsi="Times New Roman"/>
                <w:color w:val="000000"/>
              </w:rPr>
              <w:t xml:space="preserve"> </w:t>
            </w:r>
            <w:r w:rsidRPr="00E1628D">
              <w:rPr>
                <w:rFonts w:ascii="Times New Roman" w:hAnsi="Times New Roman"/>
                <w:color w:val="000000"/>
              </w:rPr>
              <w:t>i Nauce POL-on</w:t>
            </w:r>
            <w:r>
              <w:rPr>
                <w:rFonts w:ascii="Times New Roman" w:hAnsi="Times New Roman"/>
                <w:color w:val="000000"/>
              </w:rPr>
              <w:t>.</w:t>
            </w:r>
            <w:r w:rsidR="00692DD7">
              <w:rPr>
                <w:rFonts w:ascii="Times New Roman" w:hAnsi="Times New Roman"/>
                <w:color w:val="000000"/>
              </w:rPr>
              <w:t xml:space="preserve"> </w:t>
            </w:r>
          </w:p>
        </w:tc>
      </w:tr>
      <w:tr w:rsidR="001B3460" w:rsidRPr="008B4FE6" w14:paraId="412B0E10" w14:textId="77777777" w:rsidTr="00676C8D">
        <w:trPr>
          <w:gridAfter w:val="1"/>
          <w:wAfter w:w="10" w:type="dxa"/>
          <w:trHeight w:val="142"/>
        </w:trPr>
        <w:tc>
          <w:tcPr>
            <w:tcW w:w="10937" w:type="dxa"/>
            <w:gridSpan w:val="29"/>
            <w:shd w:val="clear" w:color="auto" w:fill="99CCFF"/>
          </w:tcPr>
          <w:p w14:paraId="2D30B8B7" w14:textId="77777777"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lastRenderedPageBreak/>
              <w:t xml:space="preserve">Wpływ na rynek pracy </w:t>
            </w:r>
          </w:p>
        </w:tc>
      </w:tr>
      <w:tr w:rsidR="001B3460" w:rsidRPr="008B4FE6" w14:paraId="17495F2C" w14:textId="77777777" w:rsidTr="00676C8D">
        <w:trPr>
          <w:gridAfter w:val="1"/>
          <w:wAfter w:w="10" w:type="dxa"/>
          <w:trHeight w:val="142"/>
        </w:trPr>
        <w:tc>
          <w:tcPr>
            <w:tcW w:w="10937" w:type="dxa"/>
            <w:gridSpan w:val="29"/>
          </w:tcPr>
          <w:p w14:paraId="2BC74907" w14:textId="77777777" w:rsidR="001B3460" w:rsidRPr="008B4FE6" w:rsidRDefault="00B749D7" w:rsidP="00B749D7">
            <w:pPr>
              <w:spacing w:before="120" w:after="120" w:line="240" w:lineRule="auto"/>
              <w:jc w:val="both"/>
              <w:rPr>
                <w:rFonts w:ascii="Times New Roman" w:hAnsi="Times New Roman"/>
                <w:color w:val="000000"/>
              </w:rPr>
            </w:pPr>
            <w:r w:rsidRPr="00B749D7">
              <w:rPr>
                <w:rFonts w:ascii="Times New Roman" w:hAnsi="Times New Roman"/>
                <w:color w:val="000000"/>
              </w:rPr>
              <w:t>Projektowane rozporządzenie nie będzie miało wpływu na rynek pracy.</w:t>
            </w:r>
          </w:p>
        </w:tc>
      </w:tr>
      <w:tr w:rsidR="001B3460" w:rsidRPr="008B4FE6" w14:paraId="2409CAA5" w14:textId="77777777" w:rsidTr="00676C8D">
        <w:trPr>
          <w:gridAfter w:val="1"/>
          <w:wAfter w:w="10" w:type="dxa"/>
          <w:trHeight w:val="142"/>
        </w:trPr>
        <w:tc>
          <w:tcPr>
            <w:tcW w:w="10937" w:type="dxa"/>
            <w:gridSpan w:val="29"/>
            <w:shd w:val="clear" w:color="auto" w:fill="99CCFF"/>
          </w:tcPr>
          <w:p w14:paraId="74D4D55A" w14:textId="77777777"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1B3460" w:rsidRPr="008B4FE6" w14:paraId="51359853" w14:textId="77777777" w:rsidTr="00676C8D">
        <w:trPr>
          <w:gridAfter w:val="1"/>
          <w:wAfter w:w="10" w:type="dxa"/>
          <w:trHeight w:val="1031"/>
        </w:trPr>
        <w:tc>
          <w:tcPr>
            <w:tcW w:w="3547" w:type="dxa"/>
            <w:gridSpan w:val="5"/>
            <w:shd w:val="clear" w:color="auto" w:fill="FFFFFF"/>
          </w:tcPr>
          <w:p w14:paraId="26AFD39D" w14:textId="77777777" w:rsidR="001B3460" w:rsidRPr="008B4FE6" w:rsidRDefault="001B3460" w:rsidP="00254DED">
            <w:pPr>
              <w:spacing w:line="240" w:lineRule="auto"/>
              <w:rPr>
                <w:rFonts w:ascii="Times New Roman" w:hAnsi="Times New Roman"/>
                <w:color w:val="000000"/>
              </w:rPr>
            </w:pPr>
          </w:p>
          <w:p w14:paraId="4256064D" w14:textId="77777777" w:rsidR="001B3460" w:rsidRPr="008B4FE6" w:rsidRDefault="001B3460"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793C90C2" w14:textId="77777777" w:rsidR="001B3460" w:rsidRDefault="001B3460"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238A6C0C" w14:textId="77777777" w:rsidR="00BF6667" w:rsidRPr="00BF6667" w:rsidRDefault="001B3460" w:rsidP="006D46C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00BF6667" w:rsidRPr="00D93C2B">
              <w:rPr>
                <w:rFonts w:ascii="Times New Roman" w:hAnsi="Times New Roman"/>
                <w:spacing w:val="-2"/>
              </w:rPr>
              <w:t>sądy powszechne, administracyjne lub wojskowe</w:t>
            </w:r>
          </w:p>
        </w:tc>
        <w:tc>
          <w:tcPr>
            <w:tcW w:w="3687" w:type="dxa"/>
            <w:gridSpan w:val="15"/>
            <w:shd w:val="clear" w:color="auto" w:fill="FFFFFF"/>
          </w:tcPr>
          <w:p w14:paraId="105FCEB8" w14:textId="77777777" w:rsidR="001B3460" w:rsidRPr="008B4FE6" w:rsidRDefault="001B3460" w:rsidP="00254DED">
            <w:pPr>
              <w:spacing w:line="240" w:lineRule="auto"/>
              <w:rPr>
                <w:rFonts w:ascii="Times New Roman" w:hAnsi="Times New Roman"/>
                <w:color w:val="000000"/>
              </w:rPr>
            </w:pPr>
          </w:p>
          <w:p w14:paraId="468A31D3" w14:textId="77777777" w:rsidR="001B3460" w:rsidRPr="008B4FE6" w:rsidRDefault="001B3460"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3EA64258" w14:textId="77777777" w:rsidR="001B3460" w:rsidRDefault="001B3460"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0B4C09E1" w14:textId="5EC22B85" w:rsidR="00BF6667" w:rsidRPr="008B4FE6" w:rsidRDefault="00401FE0" w:rsidP="006A701A">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BF6667" w:rsidRPr="008B4FE6">
              <w:rPr>
                <w:rFonts w:ascii="Times New Roman" w:hAnsi="Times New Roman"/>
                <w:color w:val="000000"/>
                <w:sz w:val="20"/>
                <w:szCs w:val="20"/>
              </w:rPr>
              <w:t xml:space="preserve"> </w:t>
            </w:r>
            <w:r w:rsidR="00BF6667" w:rsidRPr="008B4FE6">
              <w:rPr>
                <w:rFonts w:ascii="Times New Roman" w:hAnsi="Times New Roman"/>
                <w:color w:val="000000"/>
                <w:spacing w:val="-2"/>
              </w:rPr>
              <w:t xml:space="preserve">inne: </w:t>
            </w:r>
            <w:r>
              <w:rPr>
                <w:rFonts w:ascii="Times New Roman" w:hAnsi="Times New Roman"/>
                <w:color w:val="000000"/>
              </w:rPr>
              <w:t>szkolnictwo wyższe i nauka</w:t>
            </w:r>
          </w:p>
        </w:tc>
        <w:tc>
          <w:tcPr>
            <w:tcW w:w="3703" w:type="dxa"/>
            <w:gridSpan w:val="9"/>
            <w:shd w:val="clear" w:color="auto" w:fill="FFFFFF"/>
          </w:tcPr>
          <w:p w14:paraId="7F23C364" w14:textId="77777777" w:rsidR="001B3460" w:rsidRPr="008B4FE6" w:rsidRDefault="001B3460" w:rsidP="006A701A">
            <w:pPr>
              <w:spacing w:line="240" w:lineRule="auto"/>
              <w:rPr>
                <w:rFonts w:ascii="Times New Roman" w:hAnsi="Times New Roman"/>
                <w:color w:val="000000"/>
              </w:rPr>
            </w:pPr>
          </w:p>
          <w:p w14:paraId="1A0BDE8C" w14:textId="77777777" w:rsidR="001B3460" w:rsidRDefault="001B3460" w:rsidP="006A701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54656737" w14:textId="77777777" w:rsidR="001B3460" w:rsidRPr="008B4FE6" w:rsidRDefault="00B749D7" w:rsidP="006A701A">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B3460" w:rsidRPr="008B4FE6">
              <w:rPr>
                <w:rFonts w:ascii="Times New Roman" w:hAnsi="Times New Roman"/>
                <w:color w:val="000000"/>
                <w:sz w:val="20"/>
                <w:szCs w:val="20"/>
              </w:rPr>
              <w:t xml:space="preserve"> </w:t>
            </w:r>
            <w:r w:rsidR="001B3460">
              <w:rPr>
                <w:rFonts w:ascii="Times New Roman" w:hAnsi="Times New Roman"/>
                <w:color w:val="000000"/>
                <w:spacing w:val="-2"/>
              </w:rPr>
              <w:t>zdrowie</w:t>
            </w:r>
          </w:p>
        </w:tc>
      </w:tr>
      <w:tr w:rsidR="001B3460" w:rsidRPr="008B4FE6" w14:paraId="1810C3E6" w14:textId="77777777" w:rsidTr="00676C8D">
        <w:trPr>
          <w:gridAfter w:val="1"/>
          <w:wAfter w:w="10" w:type="dxa"/>
          <w:trHeight w:val="712"/>
        </w:trPr>
        <w:tc>
          <w:tcPr>
            <w:tcW w:w="2243" w:type="dxa"/>
            <w:gridSpan w:val="2"/>
            <w:shd w:val="clear" w:color="auto" w:fill="FFFFFF"/>
            <w:vAlign w:val="center"/>
          </w:tcPr>
          <w:p w14:paraId="10217ED9" w14:textId="77777777" w:rsidR="001B3460" w:rsidRPr="008B4FE6" w:rsidRDefault="001B3460" w:rsidP="00254DED">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14:paraId="700C0460" w14:textId="2E293D69" w:rsidR="001B3460" w:rsidRPr="008B4FE6" w:rsidRDefault="00401FE0" w:rsidP="00B37C80">
            <w:pPr>
              <w:spacing w:line="240" w:lineRule="auto"/>
              <w:jc w:val="both"/>
              <w:rPr>
                <w:rFonts w:ascii="Times New Roman" w:hAnsi="Times New Roman"/>
                <w:color w:val="000000"/>
                <w:spacing w:val="-2"/>
              </w:rPr>
            </w:pPr>
            <w:r>
              <w:rPr>
                <w:rFonts w:ascii="Times New Roman" w:hAnsi="Times New Roman"/>
                <w:color w:val="000000"/>
                <w:spacing w:val="-2"/>
              </w:rPr>
              <w:t>Wprowadzone w załączniku nr 1 do rozporządzenia zmiany w algorytmie podziału subwencji będą</w:t>
            </w:r>
            <w:r w:rsidRPr="00401FE0">
              <w:rPr>
                <w:rFonts w:ascii="Times New Roman" w:hAnsi="Times New Roman"/>
                <w:color w:val="000000"/>
                <w:spacing w:val="-2"/>
              </w:rPr>
              <w:t xml:space="preserve"> stymulowały rozwój uczelni medycznych w obszarach istotnych dla ochrony zdrowia</w:t>
            </w:r>
            <w:r>
              <w:rPr>
                <w:rFonts w:ascii="Times New Roman" w:hAnsi="Times New Roman"/>
                <w:color w:val="000000"/>
                <w:spacing w:val="-2"/>
              </w:rPr>
              <w:t>. W szczególności zmiana w algorytmie stymulowa</w:t>
            </w:r>
            <w:r w:rsidR="00F40BE3">
              <w:rPr>
                <w:rFonts w:ascii="Times New Roman" w:hAnsi="Times New Roman"/>
                <w:color w:val="000000"/>
                <w:spacing w:val="-2"/>
              </w:rPr>
              <w:t>ć</w:t>
            </w:r>
            <w:r>
              <w:rPr>
                <w:rFonts w:ascii="Times New Roman" w:hAnsi="Times New Roman"/>
                <w:color w:val="000000"/>
                <w:spacing w:val="-2"/>
              </w:rPr>
              <w:t xml:space="preserve"> będzie zwiększenie standardu pokoi domów studenta, co wpłynie korzystnie na epidemiologiczne warunki dla zakwaterowanych tam osób, komfort mieszkania oraz ograniczenie liczby i kosztów remontów w domach studenta. Ponadto wprowadzenie składnika klinicznego będzie stymulowało uczelnie medyczne do zwiększania liczby studentów kształconych na najistotniejszych dla ochrony zdrowia kierunkach studiów, co wpłynie pozytywnie na liczbę nowych pracowników w ochronie zdrowia.</w:t>
            </w:r>
          </w:p>
        </w:tc>
      </w:tr>
      <w:tr w:rsidR="001B3460" w:rsidRPr="008B4FE6" w14:paraId="3F5C2B70" w14:textId="77777777" w:rsidTr="00676C8D">
        <w:trPr>
          <w:gridAfter w:val="1"/>
          <w:wAfter w:w="10" w:type="dxa"/>
          <w:trHeight w:val="142"/>
        </w:trPr>
        <w:tc>
          <w:tcPr>
            <w:tcW w:w="10937" w:type="dxa"/>
            <w:gridSpan w:val="29"/>
            <w:shd w:val="clear" w:color="auto" w:fill="99CCFF"/>
          </w:tcPr>
          <w:p w14:paraId="56380D1E" w14:textId="77777777" w:rsidR="001B3460" w:rsidRPr="00627221" w:rsidRDefault="00A767D2" w:rsidP="00A767D2">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w:t>
            </w:r>
            <w:r w:rsidR="00CF5F4F">
              <w:rPr>
                <w:rFonts w:ascii="Times New Roman" w:hAnsi="Times New Roman"/>
                <w:b/>
                <w:spacing w:val="-2"/>
                <w:sz w:val="21"/>
                <w:szCs w:val="21"/>
              </w:rPr>
              <w:t>owane</w:t>
            </w:r>
            <w:r>
              <w:rPr>
                <w:rFonts w:ascii="Times New Roman" w:hAnsi="Times New Roman"/>
                <w:b/>
                <w:spacing w:val="-2"/>
                <w:sz w:val="21"/>
                <w:szCs w:val="21"/>
              </w:rPr>
              <w:t xml:space="preserve"> w</w:t>
            </w:r>
            <w:r w:rsidR="00627221" w:rsidRPr="00627221">
              <w:rPr>
                <w:rFonts w:ascii="Times New Roman" w:hAnsi="Times New Roman"/>
                <w:b/>
                <w:spacing w:val="-2"/>
                <w:sz w:val="21"/>
                <w:szCs w:val="21"/>
              </w:rPr>
              <w:t>ykonani</w:t>
            </w:r>
            <w:r w:rsidR="00CF5F4F">
              <w:rPr>
                <w:rFonts w:ascii="Times New Roman" w:hAnsi="Times New Roman"/>
                <w:b/>
                <w:spacing w:val="-2"/>
                <w:sz w:val="21"/>
                <w:szCs w:val="21"/>
              </w:rPr>
              <w:t>e</w:t>
            </w:r>
            <w:r w:rsidR="00627221" w:rsidRPr="00627221">
              <w:rPr>
                <w:rFonts w:ascii="Times New Roman" w:hAnsi="Times New Roman"/>
                <w:b/>
                <w:spacing w:val="-2"/>
                <w:sz w:val="21"/>
                <w:szCs w:val="21"/>
              </w:rPr>
              <w:t xml:space="preserve"> przepisów aktu prawnego</w:t>
            </w:r>
          </w:p>
        </w:tc>
      </w:tr>
      <w:tr w:rsidR="001B3460" w:rsidRPr="008B4FE6" w14:paraId="3B91E3C4" w14:textId="77777777" w:rsidTr="00676C8D">
        <w:trPr>
          <w:gridAfter w:val="1"/>
          <w:wAfter w:w="10" w:type="dxa"/>
          <w:trHeight w:val="142"/>
        </w:trPr>
        <w:tc>
          <w:tcPr>
            <w:tcW w:w="10937" w:type="dxa"/>
            <w:gridSpan w:val="29"/>
            <w:shd w:val="clear" w:color="auto" w:fill="FFFFFF"/>
          </w:tcPr>
          <w:p w14:paraId="4DFB44F9" w14:textId="37ACB0CB" w:rsidR="001B3460" w:rsidRPr="00B37C80" w:rsidRDefault="004B301F" w:rsidP="00B749D7">
            <w:pPr>
              <w:spacing w:before="120" w:after="120" w:line="240" w:lineRule="auto"/>
              <w:jc w:val="both"/>
              <w:rPr>
                <w:rFonts w:ascii="Times New Roman" w:hAnsi="Times New Roman"/>
                <w:spacing w:val="-2"/>
              </w:rPr>
            </w:pPr>
            <w:r w:rsidRPr="004B301F">
              <w:rPr>
                <w:rFonts w:ascii="Times New Roman" w:hAnsi="Times New Roman"/>
                <w:spacing w:val="-2"/>
              </w:rPr>
              <w:t>Rozporządzenie w</w:t>
            </w:r>
            <w:r>
              <w:rPr>
                <w:rFonts w:ascii="Times New Roman" w:hAnsi="Times New Roman"/>
                <w:spacing w:val="-2"/>
              </w:rPr>
              <w:t>ejdzie</w:t>
            </w:r>
            <w:r w:rsidRPr="004B301F">
              <w:rPr>
                <w:rFonts w:ascii="Times New Roman" w:hAnsi="Times New Roman"/>
                <w:spacing w:val="-2"/>
              </w:rPr>
              <w:t xml:space="preserve"> w życie po upływie 14 dni od dnia ogłoszenia.</w:t>
            </w:r>
          </w:p>
        </w:tc>
      </w:tr>
      <w:tr w:rsidR="001B3460" w:rsidRPr="008B4FE6" w14:paraId="15426491" w14:textId="77777777" w:rsidTr="00676C8D">
        <w:trPr>
          <w:gridAfter w:val="1"/>
          <w:wAfter w:w="10" w:type="dxa"/>
          <w:trHeight w:val="142"/>
        </w:trPr>
        <w:tc>
          <w:tcPr>
            <w:tcW w:w="10937" w:type="dxa"/>
            <w:gridSpan w:val="29"/>
            <w:shd w:val="clear" w:color="auto" w:fill="99CCFF"/>
          </w:tcPr>
          <w:p w14:paraId="66DBB1D7" w14:textId="77777777" w:rsidR="001B3460" w:rsidRPr="008B4FE6" w:rsidRDefault="001B3460" w:rsidP="001D6A3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sidR="00A47BDF">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w:t>
            </w:r>
            <w:r w:rsidR="00C33027" w:rsidRPr="0063060B">
              <w:rPr>
                <w:rFonts w:ascii="Times New Roman" w:hAnsi="Times New Roman"/>
                <w:b/>
                <w:spacing w:val="-2"/>
                <w:sz w:val="21"/>
                <w:szCs w:val="21"/>
              </w:rPr>
              <w:t>zastosowane</w:t>
            </w:r>
            <w:r w:rsidR="00C33027">
              <w:rPr>
                <w:rFonts w:ascii="Times New Roman" w:hAnsi="Times New Roman"/>
                <w:b/>
                <w:spacing w:val="-2"/>
                <w:sz w:val="21"/>
                <w:szCs w:val="21"/>
              </w:rPr>
              <w:t>?</w:t>
            </w:r>
          </w:p>
        </w:tc>
      </w:tr>
      <w:tr w:rsidR="001B3460" w:rsidRPr="008B4FE6" w14:paraId="6638C8AE" w14:textId="77777777" w:rsidTr="00676C8D">
        <w:trPr>
          <w:gridAfter w:val="1"/>
          <w:wAfter w:w="10" w:type="dxa"/>
          <w:trHeight w:val="142"/>
        </w:trPr>
        <w:tc>
          <w:tcPr>
            <w:tcW w:w="10937" w:type="dxa"/>
            <w:gridSpan w:val="29"/>
            <w:shd w:val="clear" w:color="auto" w:fill="FFFFFF"/>
          </w:tcPr>
          <w:p w14:paraId="2F18D1E3" w14:textId="77777777" w:rsidR="001B3460" w:rsidRPr="00B37C80" w:rsidRDefault="00B749D7" w:rsidP="00B749D7">
            <w:pPr>
              <w:spacing w:before="120" w:after="120" w:line="240" w:lineRule="auto"/>
              <w:jc w:val="both"/>
              <w:rPr>
                <w:rFonts w:ascii="Times New Roman" w:hAnsi="Times New Roman"/>
                <w:color w:val="000000"/>
                <w:spacing w:val="-2"/>
              </w:rPr>
            </w:pPr>
            <w:r w:rsidRPr="00B749D7">
              <w:rPr>
                <w:rFonts w:ascii="Times New Roman" w:hAnsi="Times New Roman"/>
                <w:color w:val="000000"/>
                <w:spacing w:val="-2"/>
              </w:rPr>
              <w:t>Ze względu na charakter regulacji nie przewiduje się przeprowadzania ewaluacji efektów projektu.</w:t>
            </w:r>
          </w:p>
        </w:tc>
      </w:tr>
      <w:tr w:rsidR="001B3460" w:rsidRPr="008B4FE6" w14:paraId="281648F2" w14:textId="77777777" w:rsidTr="00676C8D">
        <w:trPr>
          <w:gridAfter w:val="1"/>
          <w:wAfter w:w="10" w:type="dxa"/>
          <w:trHeight w:val="142"/>
        </w:trPr>
        <w:tc>
          <w:tcPr>
            <w:tcW w:w="10937" w:type="dxa"/>
            <w:gridSpan w:val="29"/>
            <w:shd w:val="clear" w:color="auto" w:fill="99CCFF"/>
          </w:tcPr>
          <w:p w14:paraId="2B77A589" w14:textId="77777777" w:rsidR="001B3460" w:rsidRPr="008B4FE6" w:rsidRDefault="001B3460" w:rsidP="00301959">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w:t>
            </w:r>
            <w:r w:rsidR="00C33027">
              <w:rPr>
                <w:rFonts w:ascii="Times New Roman" w:hAnsi="Times New Roman"/>
                <w:b/>
                <w:spacing w:val="-2"/>
                <w:sz w:val="21"/>
                <w:szCs w:val="21"/>
              </w:rPr>
              <w:t>itp.</w:t>
            </w:r>
            <w:r w:rsidRPr="008B4FE6">
              <w:rPr>
                <w:rFonts w:ascii="Times New Roman" w:hAnsi="Times New Roman"/>
                <w:b/>
                <w:color w:val="000000"/>
                <w:spacing w:val="-2"/>
              </w:rPr>
              <w:t xml:space="preserve">) </w:t>
            </w:r>
          </w:p>
        </w:tc>
      </w:tr>
      <w:tr w:rsidR="001B3460" w:rsidRPr="008B4FE6" w14:paraId="67413976" w14:textId="77777777" w:rsidTr="00676C8D">
        <w:trPr>
          <w:gridAfter w:val="1"/>
          <w:wAfter w:w="10" w:type="dxa"/>
          <w:trHeight w:val="142"/>
        </w:trPr>
        <w:tc>
          <w:tcPr>
            <w:tcW w:w="10937" w:type="dxa"/>
            <w:gridSpan w:val="29"/>
            <w:shd w:val="clear" w:color="auto" w:fill="FFFFFF"/>
          </w:tcPr>
          <w:p w14:paraId="79F92D06" w14:textId="77777777" w:rsidR="001B3460" w:rsidRPr="00B37C80" w:rsidRDefault="00B749D7" w:rsidP="00B749D7">
            <w:pPr>
              <w:spacing w:before="120" w:after="120" w:line="240" w:lineRule="auto"/>
              <w:jc w:val="both"/>
              <w:rPr>
                <w:rFonts w:ascii="Times New Roman" w:hAnsi="Times New Roman"/>
                <w:color w:val="000000"/>
                <w:spacing w:val="-2"/>
              </w:rPr>
            </w:pPr>
            <w:r w:rsidRPr="00B749D7">
              <w:rPr>
                <w:rFonts w:ascii="Times New Roman" w:hAnsi="Times New Roman"/>
                <w:color w:val="000000"/>
                <w:spacing w:val="-2"/>
              </w:rPr>
              <w:t>Brak.</w:t>
            </w:r>
          </w:p>
        </w:tc>
      </w:tr>
    </w:tbl>
    <w:p w14:paraId="4C464E7D" w14:textId="77777777" w:rsidR="006176ED" w:rsidRPr="00522D94" w:rsidRDefault="009D0655" w:rsidP="00441787">
      <w:pPr>
        <w:spacing w:after="120"/>
        <w:ind w:left="360"/>
        <w:jc w:val="both"/>
        <w:rPr>
          <w:rFonts w:ascii="Times New Roman" w:hAnsi="Times New Roman"/>
          <w:sz w:val="20"/>
          <w:szCs w:val="20"/>
        </w:rPr>
      </w:pPr>
      <w:r>
        <w:rPr>
          <w:rFonts w:ascii="Times New Roman" w:hAnsi="Times New Roman"/>
          <w:sz w:val="20"/>
          <w:szCs w:val="20"/>
        </w:rPr>
        <w:t xml:space="preserve"> </w:t>
      </w: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A61B" w14:textId="77777777" w:rsidR="008A2DF7" w:rsidRDefault="008A2DF7" w:rsidP="00044739">
      <w:pPr>
        <w:spacing w:line="240" w:lineRule="auto"/>
      </w:pPr>
      <w:r>
        <w:separator/>
      </w:r>
    </w:p>
  </w:endnote>
  <w:endnote w:type="continuationSeparator" w:id="0">
    <w:p w14:paraId="55E96577" w14:textId="77777777" w:rsidR="008A2DF7" w:rsidRDefault="008A2DF7"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78A7" w14:textId="77777777" w:rsidR="008A2DF7" w:rsidRDefault="008A2DF7" w:rsidP="00044739">
      <w:pPr>
        <w:spacing w:line="240" w:lineRule="auto"/>
      </w:pPr>
      <w:r>
        <w:separator/>
      </w:r>
    </w:p>
  </w:footnote>
  <w:footnote w:type="continuationSeparator" w:id="0">
    <w:p w14:paraId="6C4A6232" w14:textId="77777777" w:rsidR="008A2DF7" w:rsidRDefault="008A2DF7"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C6998"/>
    <w:multiLevelType w:val="hybridMultilevel"/>
    <w:tmpl w:val="8F66B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D587A"/>
    <w:multiLevelType w:val="hybridMultilevel"/>
    <w:tmpl w:val="F4F4F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5" w15:restartNumberingAfterBreak="0">
    <w:nsid w:val="1C0A5A0B"/>
    <w:multiLevelType w:val="hybridMultilevel"/>
    <w:tmpl w:val="C92ACB6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0"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286B93"/>
    <w:multiLevelType w:val="hybridMultilevel"/>
    <w:tmpl w:val="8FF8A6CA"/>
    <w:lvl w:ilvl="0" w:tplc="C8C610E2">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18920C8"/>
    <w:multiLevelType w:val="hybridMultilevel"/>
    <w:tmpl w:val="B704899A"/>
    <w:lvl w:ilvl="0" w:tplc="04150017">
      <w:start w:val="1"/>
      <w:numFmt w:val="lowerLetter"/>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984BEA"/>
    <w:multiLevelType w:val="hybridMultilevel"/>
    <w:tmpl w:val="17FA1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6"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9" w15:restartNumberingAfterBreak="0">
    <w:nsid w:val="4B2A54D1"/>
    <w:multiLevelType w:val="hybridMultilevel"/>
    <w:tmpl w:val="17FA1C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51E74FB3"/>
    <w:multiLevelType w:val="hybridMultilevel"/>
    <w:tmpl w:val="C92AC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7"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16cid:durableId="486016870">
    <w:abstractNumId w:val="6"/>
  </w:num>
  <w:num w:numId="2" w16cid:durableId="317613889">
    <w:abstractNumId w:val="0"/>
  </w:num>
  <w:num w:numId="3" w16cid:durableId="2130315803">
    <w:abstractNumId w:val="13"/>
  </w:num>
  <w:num w:numId="4" w16cid:durableId="1521507677">
    <w:abstractNumId w:val="25"/>
  </w:num>
  <w:num w:numId="5" w16cid:durableId="59448871">
    <w:abstractNumId w:val="3"/>
  </w:num>
  <w:num w:numId="6" w16cid:durableId="2121024768">
    <w:abstractNumId w:val="10"/>
  </w:num>
  <w:num w:numId="7" w16cid:durableId="1132745213">
    <w:abstractNumId w:val="17"/>
  </w:num>
  <w:num w:numId="8" w16cid:durableId="395051422">
    <w:abstractNumId w:val="7"/>
  </w:num>
  <w:num w:numId="9" w16cid:durableId="1004212537">
    <w:abstractNumId w:val="20"/>
  </w:num>
  <w:num w:numId="10" w16cid:durableId="1962149794">
    <w:abstractNumId w:val="16"/>
  </w:num>
  <w:num w:numId="11" w16cid:durableId="2057392461">
    <w:abstractNumId w:val="18"/>
  </w:num>
  <w:num w:numId="12" w16cid:durableId="731386962">
    <w:abstractNumId w:val="4"/>
  </w:num>
  <w:num w:numId="13" w16cid:durableId="936403855">
    <w:abstractNumId w:val="15"/>
  </w:num>
  <w:num w:numId="14" w16cid:durableId="704989905">
    <w:abstractNumId w:val="26"/>
  </w:num>
  <w:num w:numId="15" w16cid:durableId="151795124">
    <w:abstractNumId w:val="22"/>
  </w:num>
  <w:num w:numId="16" w16cid:durableId="1947224567">
    <w:abstractNumId w:val="24"/>
  </w:num>
  <w:num w:numId="17" w16cid:durableId="1157769303">
    <w:abstractNumId w:val="8"/>
  </w:num>
  <w:num w:numId="18" w16cid:durableId="1171870424">
    <w:abstractNumId w:val="27"/>
  </w:num>
  <w:num w:numId="19" w16cid:durableId="2027976109">
    <w:abstractNumId w:val="28"/>
  </w:num>
  <w:num w:numId="20" w16cid:durableId="810175689">
    <w:abstractNumId w:val="23"/>
  </w:num>
  <w:num w:numId="21" w16cid:durableId="99954219">
    <w:abstractNumId w:val="9"/>
  </w:num>
  <w:num w:numId="22" w16cid:durableId="1608392649">
    <w:abstractNumId w:val="2"/>
  </w:num>
  <w:num w:numId="23" w16cid:durableId="691227499">
    <w:abstractNumId w:val="1"/>
  </w:num>
  <w:num w:numId="24" w16cid:durableId="426776808">
    <w:abstractNumId w:val="14"/>
  </w:num>
  <w:num w:numId="25" w16cid:durableId="1067073833">
    <w:abstractNumId w:val="5"/>
  </w:num>
  <w:num w:numId="26" w16cid:durableId="399180012">
    <w:abstractNumId w:val="19"/>
  </w:num>
  <w:num w:numId="27" w16cid:durableId="1562255642">
    <w:abstractNumId w:val="11"/>
  </w:num>
  <w:num w:numId="28" w16cid:durableId="1971208707">
    <w:abstractNumId w:val="12"/>
  </w:num>
  <w:num w:numId="29" w16cid:durableId="13139440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4C6A"/>
    <w:rsid w:val="00012D11"/>
    <w:rsid w:val="00013EB5"/>
    <w:rsid w:val="00023836"/>
    <w:rsid w:val="000356A9"/>
    <w:rsid w:val="00044138"/>
    <w:rsid w:val="00044739"/>
    <w:rsid w:val="00051637"/>
    <w:rsid w:val="00056681"/>
    <w:rsid w:val="000648A7"/>
    <w:rsid w:val="00065847"/>
    <w:rsid w:val="0006618B"/>
    <w:rsid w:val="000670C0"/>
    <w:rsid w:val="00071B99"/>
    <w:rsid w:val="00074D5E"/>
    <w:rsid w:val="000756E5"/>
    <w:rsid w:val="0007704E"/>
    <w:rsid w:val="00080EC8"/>
    <w:rsid w:val="000944AC"/>
    <w:rsid w:val="00094CB9"/>
    <w:rsid w:val="000956B2"/>
    <w:rsid w:val="000969E7"/>
    <w:rsid w:val="000A23DE"/>
    <w:rsid w:val="000A4020"/>
    <w:rsid w:val="000B54FB"/>
    <w:rsid w:val="000B58AC"/>
    <w:rsid w:val="000B7796"/>
    <w:rsid w:val="000C29B0"/>
    <w:rsid w:val="000C3DE3"/>
    <w:rsid w:val="000C76FC"/>
    <w:rsid w:val="000D38FC"/>
    <w:rsid w:val="000D3AB0"/>
    <w:rsid w:val="000D4D90"/>
    <w:rsid w:val="000E2D10"/>
    <w:rsid w:val="000F0C20"/>
    <w:rsid w:val="000F3204"/>
    <w:rsid w:val="000F7762"/>
    <w:rsid w:val="0010548B"/>
    <w:rsid w:val="001072D1"/>
    <w:rsid w:val="00117017"/>
    <w:rsid w:val="001248C7"/>
    <w:rsid w:val="00127EEE"/>
    <w:rsid w:val="00130E8E"/>
    <w:rsid w:val="0013216E"/>
    <w:rsid w:val="001349FE"/>
    <w:rsid w:val="00136D33"/>
    <w:rsid w:val="001401B5"/>
    <w:rsid w:val="00140D98"/>
    <w:rsid w:val="001422B9"/>
    <w:rsid w:val="0014665F"/>
    <w:rsid w:val="00153464"/>
    <w:rsid w:val="001541B3"/>
    <w:rsid w:val="00155B15"/>
    <w:rsid w:val="00161277"/>
    <w:rsid w:val="001625BE"/>
    <w:rsid w:val="001643A4"/>
    <w:rsid w:val="00165A9C"/>
    <w:rsid w:val="001727BB"/>
    <w:rsid w:val="00177A3E"/>
    <w:rsid w:val="00180D25"/>
    <w:rsid w:val="0018318D"/>
    <w:rsid w:val="0018572C"/>
    <w:rsid w:val="00187E79"/>
    <w:rsid w:val="00187F0D"/>
    <w:rsid w:val="00192CC5"/>
    <w:rsid w:val="001956A7"/>
    <w:rsid w:val="00196086"/>
    <w:rsid w:val="001A118A"/>
    <w:rsid w:val="001A27F4"/>
    <w:rsid w:val="001A2D95"/>
    <w:rsid w:val="001A50FC"/>
    <w:rsid w:val="001B3460"/>
    <w:rsid w:val="001B42AC"/>
    <w:rsid w:val="001B4CA1"/>
    <w:rsid w:val="001B75D8"/>
    <w:rsid w:val="001C0044"/>
    <w:rsid w:val="001C1060"/>
    <w:rsid w:val="001C3C63"/>
    <w:rsid w:val="001D4732"/>
    <w:rsid w:val="001D6A3C"/>
    <w:rsid w:val="001D6D51"/>
    <w:rsid w:val="001E05CE"/>
    <w:rsid w:val="001E23B7"/>
    <w:rsid w:val="001E69DD"/>
    <w:rsid w:val="001F3E2E"/>
    <w:rsid w:val="001F653A"/>
    <w:rsid w:val="001F6979"/>
    <w:rsid w:val="001F7D55"/>
    <w:rsid w:val="00202BC6"/>
    <w:rsid w:val="00205141"/>
    <w:rsid w:val="0020516B"/>
    <w:rsid w:val="00213559"/>
    <w:rsid w:val="00213EFD"/>
    <w:rsid w:val="002172F1"/>
    <w:rsid w:val="0021795D"/>
    <w:rsid w:val="00223C7B"/>
    <w:rsid w:val="00224AB1"/>
    <w:rsid w:val="0022687A"/>
    <w:rsid w:val="00230728"/>
    <w:rsid w:val="00234040"/>
    <w:rsid w:val="00234229"/>
    <w:rsid w:val="00235C4D"/>
    <w:rsid w:val="00235CD2"/>
    <w:rsid w:val="00235DBB"/>
    <w:rsid w:val="00237918"/>
    <w:rsid w:val="002523AC"/>
    <w:rsid w:val="00254DED"/>
    <w:rsid w:val="00255619"/>
    <w:rsid w:val="00255DAD"/>
    <w:rsid w:val="00256108"/>
    <w:rsid w:val="00260F33"/>
    <w:rsid w:val="002613BD"/>
    <w:rsid w:val="002624F1"/>
    <w:rsid w:val="00270C81"/>
    <w:rsid w:val="00271558"/>
    <w:rsid w:val="00274862"/>
    <w:rsid w:val="00280760"/>
    <w:rsid w:val="00282D72"/>
    <w:rsid w:val="00283402"/>
    <w:rsid w:val="00290FD6"/>
    <w:rsid w:val="002914AF"/>
    <w:rsid w:val="00294259"/>
    <w:rsid w:val="002A2C81"/>
    <w:rsid w:val="002A4B89"/>
    <w:rsid w:val="002B3D1A"/>
    <w:rsid w:val="002C27D0"/>
    <w:rsid w:val="002C2C9B"/>
    <w:rsid w:val="002D17D6"/>
    <w:rsid w:val="002D18D7"/>
    <w:rsid w:val="002D21CE"/>
    <w:rsid w:val="002E3DA3"/>
    <w:rsid w:val="002E450F"/>
    <w:rsid w:val="002E6B38"/>
    <w:rsid w:val="002E6D63"/>
    <w:rsid w:val="002E6E2B"/>
    <w:rsid w:val="002F500B"/>
    <w:rsid w:val="00300991"/>
    <w:rsid w:val="00301959"/>
    <w:rsid w:val="00305B8A"/>
    <w:rsid w:val="00316E48"/>
    <w:rsid w:val="00322E26"/>
    <w:rsid w:val="003303E1"/>
    <w:rsid w:val="00331BF9"/>
    <w:rsid w:val="003324CA"/>
    <w:rsid w:val="0033495E"/>
    <w:rsid w:val="00334A79"/>
    <w:rsid w:val="00334D8D"/>
    <w:rsid w:val="00334E2E"/>
    <w:rsid w:val="00337345"/>
    <w:rsid w:val="00337DD2"/>
    <w:rsid w:val="003404D1"/>
    <w:rsid w:val="003443FF"/>
    <w:rsid w:val="00355808"/>
    <w:rsid w:val="00362C7E"/>
    <w:rsid w:val="00363309"/>
    <w:rsid w:val="00363601"/>
    <w:rsid w:val="0037043C"/>
    <w:rsid w:val="00376AC9"/>
    <w:rsid w:val="00380DDD"/>
    <w:rsid w:val="00386AF3"/>
    <w:rsid w:val="00393032"/>
    <w:rsid w:val="00394B69"/>
    <w:rsid w:val="00397078"/>
    <w:rsid w:val="003A6953"/>
    <w:rsid w:val="003B6083"/>
    <w:rsid w:val="003B6933"/>
    <w:rsid w:val="003C2061"/>
    <w:rsid w:val="003C3838"/>
    <w:rsid w:val="003C5847"/>
    <w:rsid w:val="003D0681"/>
    <w:rsid w:val="003D0B14"/>
    <w:rsid w:val="003D12F6"/>
    <w:rsid w:val="003D1426"/>
    <w:rsid w:val="003E2F4E"/>
    <w:rsid w:val="003E720A"/>
    <w:rsid w:val="00401FE0"/>
    <w:rsid w:val="00403E6E"/>
    <w:rsid w:val="004129B4"/>
    <w:rsid w:val="00417EF0"/>
    <w:rsid w:val="00422181"/>
    <w:rsid w:val="004244A8"/>
    <w:rsid w:val="00425F72"/>
    <w:rsid w:val="00427736"/>
    <w:rsid w:val="00441787"/>
    <w:rsid w:val="00444F2D"/>
    <w:rsid w:val="0044735C"/>
    <w:rsid w:val="00452034"/>
    <w:rsid w:val="00455FA6"/>
    <w:rsid w:val="00466C70"/>
    <w:rsid w:val="004702C9"/>
    <w:rsid w:val="00472E45"/>
    <w:rsid w:val="00473FEA"/>
    <w:rsid w:val="0047579D"/>
    <w:rsid w:val="00483262"/>
    <w:rsid w:val="00484107"/>
    <w:rsid w:val="00485CC5"/>
    <w:rsid w:val="0049343F"/>
    <w:rsid w:val="004964FC"/>
    <w:rsid w:val="004A145E"/>
    <w:rsid w:val="004A1F15"/>
    <w:rsid w:val="004A2A81"/>
    <w:rsid w:val="004A7BD7"/>
    <w:rsid w:val="004B301F"/>
    <w:rsid w:val="004C15C2"/>
    <w:rsid w:val="004C36D8"/>
    <w:rsid w:val="004C6A0C"/>
    <w:rsid w:val="004D1248"/>
    <w:rsid w:val="004D1E3C"/>
    <w:rsid w:val="004D4169"/>
    <w:rsid w:val="004D6E14"/>
    <w:rsid w:val="004E26A1"/>
    <w:rsid w:val="004F4E17"/>
    <w:rsid w:val="004F69FD"/>
    <w:rsid w:val="0050082F"/>
    <w:rsid w:val="00500C56"/>
    <w:rsid w:val="00501713"/>
    <w:rsid w:val="00506568"/>
    <w:rsid w:val="005069AF"/>
    <w:rsid w:val="00507ACC"/>
    <w:rsid w:val="0051551B"/>
    <w:rsid w:val="005167CB"/>
    <w:rsid w:val="00520C57"/>
    <w:rsid w:val="00522D94"/>
    <w:rsid w:val="00530DEE"/>
    <w:rsid w:val="00533D89"/>
    <w:rsid w:val="00534B2F"/>
    <w:rsid w:val="00536564"/>
    <w:rsid w:val="00544597"/>
    <w:rsid w:val="00544FFE"/>
    <w:rsid w:val="005473F5"/>
    <w:rsid w:val="005477E7"/>
    <w:rsid w:val="00552794"/>
    <w:rsid w:val="0055300D"/>
    <w:rsid w:val="005543B9"/>
    <w:rsid w:val="00561A40"/>
    <w:rsid w:val="00563199"/>
    <w:rsid w:val="00564874"/>
    <w:rsid w:val="00567963"/>
    <w:rsid w:val="0057009A"/>
    <w:rsid w:val="00571260"/>
    <w:rsid w:val="0057189C"/>
    <w:rsid w:val="00573FC1"/>
    <w:rsid w:val="005741EE"/>
    <w:rsid w:val="0057668E"/>
    <w:rsid w:val="00585E9E"/>
    <w:rsid w:val="00595E83"/>
    <w:rsid w:val="00596530"/>
    <w:rsid w:val="005967F3"/>
    <w:rsid w:val="005A06DF"/>
    <w:rsid w:val="005A5527"/>
    <w:rsid w:val="005A5AE6"/>
    <w:rsid w:val="005B1206"/>
    <w:rsid w:val="005B37E8"/>
    <w:rsid w:val="005C0056"/>
    <w:rsid w:val="005C1635"/>
    <w:rsid w:val="005C55B0"/>
    <w:rsid w:val="005C58D4"/>
    <w:rsid w:val="005D61D6"/>
    <w:rsid w:val="005E0A6E"/>
    <w:rsid w:val="005E0D13"/>
    <w:rsid w:val="005E5047"/>
    <w:rsid w:val="005E7205"/>
    <w:rsid w:val="005E7371"/>
    <w:rsid w:val="005F116C"/>
    <w:rsid w:val="005F2131"/>
    <w:rsid w:val="005F4283"/>
    <w:rsid w:val="00605EF6"/>
    <w:rsid w:val="00606455"/>
    <w:rsid w:val="00614929"/>
    <w:rsid w:val="00616511"/>
    <w:rsid w:val="006176ED"/>
    <w:rsid w:val="006202F3"/>
    <w:rsid w:val="0062097A"/>
    <w:rsid w:val="00621842"/>
    <w:rsid w:val="00621D11"/>
    <w:rsid w:val="00621DA6"/>
    <w:rsid w:val="00623CFE"/>
    <w:rsid w:val="00627221"/>
    <w:rsid w:val="00627743"/>
    <w:rsid w:val="00627EE8"/>
    <w:rsid w:val="006316FA"/>
    <w:rsid w:val="00636EBE"/>
    <w:rsid w:val="006370D2"/>
    <w:rsid w:val="0064074F"/>
    <w:rsid w:val="00641F55"/>
    <w:rsid w:val="0064444E"/>
    <w:rsid w:val="00645E4A"/>
    <w:rsid w:val="00653688"/>
    <w:rsid w:val="0066091B"/>
    <w:rsid w:val="00664496"/>
    <w:rsid w:val="006660E9"/>
    <w:rsid w:val="00667249"/>
    <w:rsid w:val="00667558"/>
    <w:rsid w:val="00671523"/>
    <w:rsid w:val="006754EF"/>
    <w:rsid w:val="00676C8D"/>
    <w:rsid w:val="00676F1F"/>
    <w:rsid w:val="00677381"/>
    <w:rsid w:val="00677414"/>
    <w:rsid w:val="006832CF"/>
    <w:rsid w:val="0068601E"/>
    <w:rsid w:val="00692DD7"/>
    <w:rsid w:val="0069486B"/>
    <w:rsid w:val="006A3697"/>
    <w:rsid w:val="006A4904"/>
    <w:rsid w:val="006A548F"/>
    <w:rsid w:val="006A701A"/>
    <w:rsid w:val="006B64DC"/>
    <w:rsid w:val="006B7A91"/>
    <w:rsid w:val="006D46C4"/>
    <w:rsid w:val="006D4704"/>
    <w:rsid w:val="006D6A2D"/>
    <w:rsid w:val="006D724B"/>
    <w:rsid w:val="006E0580"/>
    <w:rsid w:val="006E1E18"/>
    <w:rsid w:val="006E31CE"/>
    <w:rsid w:val="006E34D3"/>
    <w:rsid w:val="006E4DB9"/>
    <w:rsid w:val="006F1435"/>
    <w:rsid w:val="006F78C4"/>
    <w:rsid w:val="007024B3"/>
    <w:rsid w:val="007031A0"/>
    <w:rsid w:val="00705A29"/>
    <w:rsid w:val="00707498"/>
    <w:rsid w:val="00711A65"/>
    <w:rsid w:val="00714133"/>
    <w:rsid w:val="00714DA4"/>
    <w:rsid w:val="007158B2"/>
    <w:rsid w:val="00716081"/>
    <w:rsid w:val="007223FD"/>
    <w:rsid w:val="00722B48"/>
    <w:rsid w:val="00722C30"/>
    <w:rsid w:val="00724164"/>
    <w:rsid w:val="0072490D"/>
    <w:rsid w:val="00725DE7"/>
    <w:rsid w:val="0072636A"/>
    <w:rsid w:val="00726B44"/>
    <w:rsid w:val="007318DD"/>
    <w:rsid w:val="007322E7"/>
    <w:rsid w:val="00733167"/>
    <w:rsid w:val="00740D2C"/>
    <w:rsid w:val="00744BF9"/>
    <w:rsid w:val="00752623"/>
    <w:rsid w:val="00760F1F"/>
    <w:rsid w:val="007622DA"/>
    <w:rsid w:val="0076423E"/>
    <w:rsid w:val="007646CB"/>
    <w:rsid w:val="00766042"/>
    <w:rsid w:val="0076658F"/>
    <w:rsid w:val="0077040A"/>
    <w:rsid w:val="00772D64"/>
    <w:rsid w:val="00772F02"/>
    <w:rsid w:val="00792609"/>
    <w:rsid w:val="00792887"/>
    <w:rsid w:val="007943E2"/>
    <w:rsid w:val="00794F2C"/>
    <w:rsid w:val="00796460"/>
    <w:rsid w:val="007A3BC7"/>
    <w:rsid w:val="007A56F3"/>
    <w:rsid w:val="007A5AC4"/>
    <w:rsid w:val="007B0FDD"/>
    <w:rsid w:val="007B3257"/>
    <w:rsid w:val="007B4802"/>
    <w:rsid w:val="007B6668"/>
    <w:rsid w:val="007B6B33"/>
    <w:rsid w:val="007C122A"/>
    <w:rsid w:val="007C2701"/>
    <w:rsid w:val="007D2192"/>
    <w:rsid w:val="007E152C"/>
    <w:rsid w:val="007F0021"/>
    <w:rsid w:val="007F0EC5"/>
    <w:rsid w:val="007F2F52"/>
    <w:rsid w:val="00801F71"/>
    <w:rsid w:val="00805F28"/>
    <w:rsid w:val="0080749F"/>
    <w:rsid w:val="00811D46"/>
    <w:rsid w:val="008125B0"/>
    <w:rsid w:val="00813A85"/>
    <w:rsid w:val="008144CB"/>
    <w:rsid w:val="00820284"/>
    <w:rsid w:val="00821717"/>
    <w:rsid w:val="00823CAF"/>
    <w:rsid w:val="00824210"/>
    <w:rsid w:val="008263C0"/>
    <w:rsid w:val="00841422"/>
    <w:rsid w:val="00841D3B"/>
    <w:rsid w:val="0084314C"/>
    <w:rsid w:val="00843171"/>
    <w:rsid w:val="008438A1"/>
    <w:rsid w:val="00846E8B"/>
    <w:rsid w:val="00855677"/>
    <w:rsid w:val="008575C3"/>
    <w:rsid w:val="0086199B"/>
    <w:rsid w:val="00863D28"/>
    <w:rsid w:val="008648C3"/>
    <w:rsid w:val="008724AA"/>
    <w:rsid w:val="00877879"/>
    <w:rsid w:val="00880F26"/>
    <w:rsid w:val="00882429"/>
    <w:rsid w:val="008916AC"/>
    <w:rsid w:val="008934A9"/>
    <w:rsid w:val="00896C2E"/>
    <w:rsid w:val="008A2DF7"/>
    <w:rsid w:val="008A5095"/>
    <w:rsid w:val="008A5654"/>
    <w:rsid w:val="008A601D"/>
    <w:rsid w:val="008A608F"/>
    <w:rsid w:val="008B0143"/>
    <w:rsid w:val="008B1A9A"/>
    <w:rsid w:val="008B3F60"/>
    <w:rsid w:val="008B4FE6"/>
    <w:rsid w:val="008B6C37"/>
    <w:rsid w:val="008D3C58"/>
    <w:rsid w:val="008D5EB1"/>
    <w:rsid w:val="008E18F7"/>
    <w:rsid w:val="008E1E10"/>
    <w:rsid w:val="008E291B"/>
    <w:rsid w:val="008E333C"/>
    <w:rsid w:val="008E4F2F"/>
    <w:rsid w:val="008E74B0"/>
    <w:rsid w:val="008F2253"/>
    <w:rsid w:val="009008A8"/>
    <w:rsid w:val="009063B0"/>
    <w:rsid w:val="00907106"/>
    <w:rsid w:val="009107FD"/>
    <w:rsid w:val="0091137C"/>
    <w:rsid w:val="00911567"/>
    <w:rsid w:val="00912FDB"/>
    <w:rsid w:val="00917AAE"/>
    <w:rsid w:val="009251A9"/>
    <w:rsid w:val="00930699"/>
    <w:rsid w:val="00931F69"/>
    <w:rsid w:val="00934123"/>
    <w:rsid w:val="00955774"/>
    <w:rsid w:val="009560B5"/>
    <w:rsid w:val="009577E0"/>
    <w:rsid w:val="009612F8"/>
    <w:rsid w:val="009703D6"/>
    <w:rsid w:val="00971684"/>
    <w:rsid w:val="0097181B"/>
    <w:rsid w:val="00976DC5"/>
    <w:rsid w:val="009818C7"/>
    <w:rsid w:val="00982DD4"/>
    <w:rsid w:val="009841E5"/>
    <w:rsid w:val="0098479F"/>
    <w:rsid w:val="00984A8A"/>
    <w:rsid w:val="009857B6"/>
    <w:rsid w:val="00985A8D"/>
    <w:rsid w:val="00986610"/>
    <w:rsid w:val="009877DC"/>
    <w:rsid w:val="00991C4A"/>
    <w:rsid w:val="00991F96"/>
    <w:rsid w:val="00996F0A"/>
    <w:rsid w:val="009A1D86"/>
    <w:rsid w:val="009A6E82"/>
    <w:rsid w:val="009B049C"/>
    <w:rsid w:val="009B11C8"/>
    <w:rsid w:val="009B2BCF"/>
    <w:rsid w:val="009B2FF8"/>
    <w:rsid w:val="009B5BA3"/>
    <w:rsid w:val="009C293C"/>
    <w:rsid w:val="009D0027"/>
    <w:rsid w:val="009D0655"/>
    <w:rsid w:val="009E1224"/>
    <w:rsid w:val="009E1E98"/>
    <w:rsid w:val="009E3ABE"/>
    <w:rsid w:val="009E3C4B"/>
    <w:rsid w:val="009E42D5"/>
    <w:rsid w:val="009F0637"/>
    <w:rsid w:val="009F62A6"/>
    <w:rsid w:val="009F674F"/>
    <w:rsid w:val="009F799E"/>
    <w:rsid w:val="00A02020"/>
    <w:rsid w:val="00A056CB"/>
    <w:rsid w:val="00A07A29"/>
    <w:rsid w:val="00A10FF1"/>
    <w:rsid w:val="00A1506B"/>
    <w:rsid w:val="00A15590"/>
    <w:rsid w:val="00A17CB2"/>
    <w:rsid w:val="00A23191"/>
    <w:rsid w:val="00A23C8B"/>
    <w:rsid w:val="00A258EA"/>
    <w:rsid w:val="00A319C0"/>
    <w:rsid w:val="00A33560"/>
    <w:rsid w:val="00A364E4"/>
    <w:rsid w:val="00A371A5"/>
    <w:rsid w:val="00A37BB7"/>
    <w:rsid w:val="00A47BDF"/>
    <w:rsid w:val="00A51CD7"/>
    <w:rsid w:val="00A52ADB"/>
    <w:rsid w:val="00A533E8"/>
    <w:rsid w:val="00A542D9"/>
    <w:rsid w:val="00A56E64"/>
    <w:rsid w:val="00A624C3"/>
    <w:rsid w:val="00A6641C"/>
    <w:rsid w:val="00A73C1C"/>
    <w:rsid w:val="00A767D2"/>
    <w:rsid w:val="00A76D3E"/>
    <w:rsid w:val="00A77616"/>
    <w:rsid w:val="00A805DA"/>
    <w:rsid w:val="00A811B4"/>
    <w:rsid w:val="00A83F31"/>
    <w:rsid w:val="00A87CDE"/>
    <w:rsid w:val="00A925DF"/>
    <w:rsid w:val="00A92BAF"/>
    <w:rsid w:val="00A94737"/>
    <w:rsid w:val="00A94BA3"/>
    <w:rsid w:val="00A96CBA"/>
    <w:rsid w:val="00AA1C7B"/>
    <w:rsid w:val="00AB1ACD"/>
    <w:rsid w:val="00AB277F"/>
    <w:rsid w:val="00AB4099"/>
    <w:rsid w:val="00AB449A"/>
    <w:rsid w:val="00AC6A82"/>
    <w:rsid w:val="00AD14F9"/>
    <w:rsid w:val="00AD35D6"/>
    <w:rsid w:val="00AD58C5"/>
    <w:rsid w:val="00AD628B"/>
    <w:rsid w:val="00AE1F67"/>
    <w:rsid w:val="00AE36C4"/>
    <w:rsid w:val="00AE472C"/>
    <w:rsid w:val="00AE5375"/>
    <w:rsid w:val="00AE6CF8"/>
    <w:rsid w:val="00AF4CAC"/>
    <w:rsid w:val="00B03E0D"/>
    <w:rsid w:val="00B054F8"/>
    <w:rsid w:val="00B05EE9"/>
    <w:rsid w:val="00B06EE9"/>
    <w:rsid w:val="00B16289"/>
    <w:rsid w:val="00B2219A"/>
    <w:rsid w:val="00B319FB"/>
    <w:rsid w:val="00B3581B"/>
    <w:rsid w:val="00B368CD"/>
    <w:rsid w:val="00B36B81"/>
    <w:rsid w:val="00B36FEE"/>
    <w:rsid w:val="00B37C80"/>
    <w:rsid w:val="00B5092B"/>
    <w:rsid w:val="00B5194E"/>
    <w:rsid w:val="00B51AF5"/>
    <w:rsid w:val="00B52E1C"/>
    <w:rsid w:val="00B531FC"/>
    <w:rsid w:val="00B535B5"/>
    <w:rsid w:val="00B551AD"/>
    <w:rsid w:val="00B5528B"/>
    <w:rsid w:val="00B55347"/>
    <w:rsid w:val="00B57E5E"/>
    <w:rsid w:val="00B61F37"/>
    <w:rsid w:val="00B749D7"/>
    <w:rsid w:val="00B7770F"/>
    <w:rsid w:val="00B77A89"/>
    <w:rsid w:val="00B77B27"/>
    <w:rsid w:val="00B80879"/>
    <w:rsid w:val="00B8134E"/>
    <w:rsid w:val="00B81B55"/>
    <w:rsid w:val="00B84613"/>
    <w:rsid w:val="00B87AF0"/>
    <w:rsid w:val="00B9037B"/>
    <w:rsid w:val="00B910BD"/>
    <w:rsid w:val="00B93834"/>
    <w:rsid w:val="00B96469"/>
    <w:rsid w:val="00BA0DA2"/>
    <w:rsid w:val="00BA12D9"/>
    <w:rsid w:val="00BA2981"/>
    <w:rsid w:val="00BA400A"/>
    <w:rsid w:val="00BA42EE"/>
    <w:rsid w:val="00BA48F9"/>
    <w:rsid w:val="00BA7817"/>
    <w:rsid w:val="00BB0DCA"/>
    <w:rsid w:val="00BB2666"/>
    <w:rsid w:val="00BB6B80"/>
    <w:rsid w:val="00BC3773"/>
    <w:rsid w:val="00BC381A"/>
    <w:rsid w:val="00BD0962"/>
    <w:rsid w:val="00BD1EED"/>
    <w:rsid w:val="00BD6042"/>
    <w:rsid w:val="00BF0DA2"/>
    <w:rsid w:val="00BF109C"/>
    <w:rsid w:val="00BF34FA"/>
    <w:rsid w:val="00BF6667"/>
    <w:rsid w:val="00C004B6"/>
    <w:rsid w:val="00C047A7"/>
    <w:rsid w:val="00C05DE5"/>
    <w:rsid w:val="00C26BFB"/>
    <w:rsid w:val="00C33027"/>
    <w:rsid w:val="00C36F1E"/>
    <w:rsid w:val="00C37667"/>
    <w:rsid w:val="00C435DB"/>
    <w:rsid w:val="00C44D73"/>
    <w:rsid w:val="00C44FEA"/>
    <w:rsid w:val="00C50B42"/>
    <w:rsid w:val="00C516FF"/>
    <w:rsid w:val="00C52BFA"/>
    <w:rsid w:val="00C53D1D"/>
    <w:rsid w:val="00C53F26"/>
    <w:rsid w:val="00C540BC"/>
    <w:rsid w:val="00C54927"/>
    <w:rsid w:val="00C626F8"/>
    <w:rsid w:val="00C64F7D"/>
    <w:rsid w:val="00C67309"/>
    <w:rsid w:val="00C7614E"/>
    <w:rsid w:val="00C77BF1"/>
    <w:rsid w:val="00C80D60"/>
    <w:rsid w:val="00C82FBD"/>
    <w:rsid w:val="00C85267"/>
    <w:rsid w:val="00C8721B"/>
    <w:rsid w:val="00C9372C"/>
    <w:rsid w:val="00C9470E"/>
    <w:rsid w:val="00C95CEB"/>
    <w:rsid w:val="00CA1054"/>
    <w:rsid w:val="00CA1096"/>
    <w:rsid w:val="00CA63EB"/>
    <w:rsid w:val="00CA69F1"/>
    <w:rsid w:val="00CA7A55"/>
    <w:rsid w:val="00CA7CF2"/>
    <w:rsid w:val="00CB6821"/>
    <w:rsid w:val="00CB6991"/>
    <w:rsid w:val="00CC6194"/>
    <w:rsid w:val="00CC6305"/>
    <w:rsid w:val="00CC78A5"/>
    <w:rsid w:val="00CD0516"/>
    <w:rsid w:val="00CD28E3"/>
    <w:rsid w:val="00CD756B"/>
    <w:rsid w:val="00CE07FD"/>
    <w:rsid w:val="00CE413E"/>
    <w:rsid w:val="00CE734F"/>
    <w:rsid w:val="00CF112E"/>
    <w:rsid w:val="00CF161D"/>
    <w:rsid w:val="00CF583F"/>
    <w:rsid w:val="00CF5F4F"/>
    <w:rsid w:val="00CF7869"/>
    <w:rsid w:val="00D208B4"/>
    <w:rsid w:val="00D218DC"/>
    <w:rsid w:val="00D24E56"/>
    <w:rsid w:val="00D31643"/>
    <w:rsid w:val="00D31AEB"/>
    <w:rsid w:val="00D32ECD"/>
    <w:rsid w:val="00D361E4"/>
    <w:rsid w:val="00D42A8F"/>
    <w:rsid w:val="00D43707"/>
    <w:rsid w:val="00D439F6"/>
    <w:rsid w:val="00D459C6"/>
    <w:rsid w:val="00D50729"/>
    <w:rsid w:val="00D50C19"/>
    <w:rsid w:val="00D51ED1"/>
    <w:rsid w:val="00D5379E"/>
    <w:rsid w:val="00D55881"/>
    <w:rsid w:val="00D62643"/>
    <w:rsid w:val="00D63263"/>
    <w:rsid w:val="00D64C0F"/>
    <w:rsid w:val="00D65A35"/>
    <w:rsid w:val="00D66557"/>
    <w:rsid w:val="00D72EFE"/>
    <w:rsid w:val="00D76227"/>
    <w:rsid w:val="00D77DF1"/>
    <w:rsid w:val="00D86AFF"/>
    <w:rsid w:val="00D93C2B"/>
    <w:rsid w:val="00D95A44"/>
    <w:rsid w:val="00D95D16"/>
    <w:rsid w:val="00D97C76"/>
    <w:rsid w:val="00DB02B4"/>
    <w:rsid w:val="00DB538D"/>
    <w:rsid w:val="00DB76A8"/>
    <w:rsid w:val="00DC275C"/>
    <w:rsid w:val="00DC4B0D"/>
    <w:rsid w:val="00DC7FE1"/>
    <w:rsid w:val="00DD3F3F"/>
    <w:rsid w:val="00DD5572"/>
    <w:rsid w:val="00DE118B"/>
    <w:rsid w:val="00DE5D80"/>
    <w:rsid w:val="00DF37BA"/>
    <w:rsid w:val="00DF58CD"/>
    <w:rsid w:val="00DF5B48"/>
    <w:rsid w:val="00DF65DE"/>
    <w:rsid w:val="00E008F8"/>
    <w:rsid w:val="00E019A5"/>
    <w:rsid w:val="00E02EC8"/>
    <w:rsid w:val="00E037F5"/>
    <w:rsid w:val="00E04ECB"/>
    <w:rsid w:val="00E05A09"/>
    <w:rsid w:val="00E06CA1"/>
    <w:rsid w:val="00E1628D"/>
    <w:rsid w:val="00E172B8"/>
    <w:rsid w:val="00E17FB4"/>
    <w:rsid w:val="00E20B75"/>
    <w:rsid w:val="00E214F2"/>
    <w:rsid w:val="00E2371E"/>
    <w:rsid w:val="00E24BD7"/>
    <w:rsid w:val="00E26523"/>
    <w:rsid w:val="00E26809"/>
    <w:rsid w:val="00E3412D"/>
    <w:rsid w:val="00E57322"/>
    <w:rsid w:val="00E61FFC"/>
    <w:rsid w:val="00E628CB"/>
    <w:rsid w:val="00E62AD9"/>
    <w:rsid w:val="00E638C8"/>
    <w:rsid w:val="00E6710E"/>
    <w:rsid w:val="00E740E0"/>
    <w:rsid w:val="00E7509B"/>
    <w:rsid w:val="00E761A3"/>
    <w:rsid w:val="00E8062C"/>
    <w:rsid w:val="00E86590"/>
    <w:rsid w:val="00E907FF"/>
    <w:rsid w:val="00EA42D1"/>
    <w:rsid w:val="00EA42EF"/>
    <w:rsid w:val="00EB2DD1"/>
    <w:rsid w:val="00EB6B37"/>
    <w:rsid w:val="00EC29FE"/>
    <w:rsid w:val="00EC3C70"/>
    <w:rsid w:val="00ED2FE9"/>
    <w:rsid w:val="00ED3A3D"/>
    <w:rsid w:val="00ED538A"/>
    <w:rsid w:val="00ED6FBC"/>
    <w:rsid w:val="00EE0DD8"/>
    <w:rsid w:val="00EE2F16"/>
    <w:rsid w:val="00EE3861"/>
    <w:rsid w:val="00EF2E73"/>
    <w:rsid w:val="00EF765E"/>
    <w:rsid w:val="00EF7683"/>
    <w:rsid w:val="00EF7A2D"/>
    <w:rsid w:val="00F04F8D"/>
    <w:rsid w:val="00F067F6"/>
    <w:rsid w:val="00F10AD0"/>
    <w:rsid w:val="00F116CC"/>
    <w:rsid w:val="00F12BD1"/>
    <w:rsid w:val="00F14EC4"/>
    <w:rsid w:val="00F15327"/>
    <w:rsid w:val="00F168CF"/>
    <w:rsid w:val="00F24F68"/>
    <w:rsid w:val="00F2555C"/>
    <w:rsid w:val="00F31DF3"/>
    <w:rsid w:val="00F329BB"/>
    <w:rsid w:val="00F33AE5"/>
    <w:rsid w:val="00F3597D"/>
    <w:rsid w:val="00F40BE3"/>
    <w:rsid w:val="00F41341"/>
    <w:rsid w:val="00F4376D"/>
    <w:rsid w:val="00F45399"/>
    <w:rsid w:val="00F465EA"/>
    <w:rsid w:val="00F526FD"/>
    <w:rsid w:val="00F532EA"/>
    <w:rsid w:val="00F541B7"/>
    <w:rsid w:val="00F54E7B"/>
    <w:rsid w:val="00F55A88"/>
    <w:rsid w:val="00F633E5"/>
    <w:rsid w:val="00F70110"/>
    <w:rsid w:val="00F74005"/>
    <w:rsid w:val="00F76884"/>
    <w:rsid w:val="00F83D24"/>
    <w:rsid w:val="00F83DD9"/>
    <w:rsid w:val="00F83F40"/>
    <w:rsid w:val="00FA117A"/>
    <w:rsid w:val="00FB386A"/>
    <w:rsid w:val="00FC0786"/>
    <w:rsid w:val="00FC337B"/>
    <w:rsid w:val="00FC49EF"/>
    <w:rsid w:val="00FD1045"/>
    <w:rsid w:val="00FE16C0"/>
    <w:rsid w:val="00FE36E2"/>
    <w:rsid w:val="00FF11AD"/>
    <w:rsid w:val="00FF2971"/>
    <w:rsid w:val="00FF34D4"/>
    <w:rsid w:val="00FF3F3C"/>
    <w:rsid w:val="00FF5F4A"/>
    <w:rsid w:val="00FF6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4F0EE"/>
  <w15:chartTrackingRefBased/>
  <w15:docId w15:val="{05899B22-1E0E-46D2-AE78-A96495B7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879"/>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aliases w:val="aotm_załączniki,Styl moj,Akapit z listą1,Akapit z listą11"/>
    <w:basedOn w:val="Normalny"/>
    <w:link w:val="AkapitzlistZnak"/>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Poprawka">
    <w:name w:val="Revision"/>
    <w:hidden/>
    <w:uiPriority w:val="99"/>
    <w:semiHidden/>
    <w:rsid w:val="00FE16C0"/>
    <w:rPr>
      <w:sz w:val="22"/>
      <w:szCs w:val="22"/>
      <w:lang w:eastAsia="en-US"/>
    </w:rPr>
  </w:style>
  <w:style w:type="character" w:styleId="Nierozpoznanawzmianka">
    <w:name w:val="Unresolved Mention"/>
    <w:uiPriority w:val="99"/>
    <w:semiHidden/>
    <w:unhideWhenUsed/>
    <w:rsid w:val="00A37BB7"/>
    <w:rPr>
      <w:color w:val="605E5C"/>
      <w:shd w:val="clear" w:color="auto" w:fill="E1DFDD"/>
    </w:rPr>
  </w:style>
  <w:style w:type="character" w:customStyle="1" w:styleId="AkapitzlistZnak">
    <w:name w:val="Akapit z listą Znak"/>
    <w:aliases w:val="aotm_załączniki Znak,Styl moj Znak,Akapit z listą1 Znak,Akapit z listą11 Znak"/>
    <w:link w:val="Akapitzlist"/>
    <w:uiPriority w:val="34"/>
    <w:locked/>
    <w:rsid w:val="00A37B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361982333">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20314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rkm@m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DAE66-B4A9-4298-B03A-79F66D21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3272</Words>
  <Characters>19638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22865</CharactersWithSpaces>
  <SharedDoc>false</SharedDoc>
  <HLinks>
    <vt:vector size="6" baseType="variant">
      <vt:variant>
        <vt:i4>458802</vt:i4>
      </vt:variant>
      <vt:variant>
        <vt:i4>0</vt:i4>
      </vt:variant>
      <vt:variant>
        <vt:i4>0</vt:i4>
      </vt:variant>
      <vt:variant>
        <vt:i4>5</vt:i4>
      </vt:variant>
      <vt:variant>
        <vt:lpwstr>mailto:dep-rkm@mz.gov.pl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Jagielski Piotr</dc:creator>
  <cp:keywords/>
  <dc:description/>
  <cp:lastModifiedBy>Traczewska Katarzyna</cp:lastModifiedBy>
  <cp:revision>2</cp:revision>
  <dcterms:created xsi:type="dcterms:W3CDTF">2025-10-16T05:10:00Z</dcterms:created>
  <dcterms:modified xsi:type="dcterms:W3CDTF">2025-10-16T05:10:00Z</dcterms:modified>
</cp:coreProperties>
</file>