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545"/>
        <w:gridCol w:w="146"/>
        <w:gridCol w:w="230"/>
        <w:gridCol w:w="503"/>
        <w:gridCol w:w="294"/>
        <w:gridCol w:w="297"/>
        <w:gridCol w:w="142"/>
        <w:gridCol w:w="675"/>
        <w:gridCol w:w="58"/>
        <w:gridCol w:w="124"/>
        <w:gridCol w:w="139"/>
        <w:gridCol w:w="470"/>
        <w:gridCol w:w="127"/>
        <w:gridCol w:w="607"/>
        <w:gridCol w:w="189"/>
        <w:gridCol w:w="132"/>
        <w:gridCol w:w="416"/>
        <w:gridCol w:w="431"/>
        <w:gridCol w:w="302"/>
        <w:gridCol w:w="265"/>
        <w:gridCol w:w="224"/>
        <w:gridCol w:w="244"/>
        <w:gridCol w:w="606"/>
        <w:gridCol w:w="127"/>
        <w:gridCol w:w="734"/>
        <w:gridCol w:w="1329"/>
      </w:tblGrid>
      <w:tr w:rsidR="0095120B" w:rsidRPr="0095120B" w14:paraId="55B4AFAE" w14:textId="77777777" w:rsidTr="00E57605">
        <w:trPr>
          <w:trHeight w:val="1611"/>
        </w:trPr>
        <w:tc>
          <w:tcPr>
            <w:tcW w:w="5993" w:type="dxa"/>
            <w:gridSpan w:val="16"/>
          </w:tcPr>
          <w:p w14:paraId="069C7CC2" w14:textId="77777777" w:rsidR="008D4AC8" w:rsidRPr="0095120B" w:rsidRDefault="008D4AC8" w:rsidP="00A41590">
            <w:pPr>
              <w:spacing w:before="120" w:line="240" w:lineRule="auto"/>
              <w:ind w:hanging="45"/>
              <w:rPr>
                <w:rFonts w:ascii="Times New Roman" w:hAnsi="Times New Roman"/>
              </w:rPr>
            </w:pPr>
            <w:bookmarkStart w:id="0" w:name="t1"/>
            <w:r w:rsidRPr="0095120B">
              <w:rPr>
                <w:rFonts w:ascii="Times New Roman" w:hAnsi="Times New Roman"/>
                <w:b/>
              </w:rPr>
              <w:t>Nazwa projektu</w:t>
            </w:r>
          </w:p>
          <w:p w14:paraId="3FFEA313" w14:textId="4865140D" w:rsidR="00675236" w:rsidRPr="0095120B" w:rsidRDefault="00675236" w:rsidP="00675236">
            <w:pPr>
              <w:ind w:hanging="34"/>
              <w:jc w:val="both"/>
              <w:rPr>
                <w:rFonts w:ascii="Times New Roman" w:hAnsi="Times New Roman"/>
                <w:bCs/>
              </w:rPr>
            </w:pPr>
            <w:r w:rsidRPr="0095120B">
              <w:rPr>
                <w:rFonts w:ascii="Times New Roman" w:hAnsi="Times New Roman"/>
                <w:bCs/>
              </w:rPr>
              <w:t>Projekt ustawy o zmianie ustawy o refundacji leków, środków spożywczych specjalnego przeznaczenia żywieniowego oraz wyrobów medycznych oraz niektórych innych usta</w:t>
            </w:r>
            <w:r w:rsidR="0022641B" w:rsidRPr="0095120B">
              <w:rPr>
                <w:rFonts w:ascii="Times New Roman" w:hAnsi="Times New Roman"/>
                <w:bCs/>
              </w:rPr>
              <w:t>w</w:t>
            </w:r>
          </w:p>
          <w:p w14:paraId="677B8107" w14:textId="77777777" w:rsidR="008D4AC8" w:rsidRPr="0095120B" w:rsidRDefault="008D4AC8" w:rsidP="00A41590">
            <w:pPr>
              <w:spacing w:before="120" w:line="240" w:lineRule="auto"/>
              <w:ind w:hanging="45"/>
              <w:rPr>
                <w:rFonts w:ascii="Times New Roman" w:hAnsi="Times New Roman"/>
                <w:b/>
              </w:rPr>
            </w:pPr>
            <w:r w:rsidRPr="0095120B">
              <w:rPr>
                <w:rFonts w:ascii="Times New Roman" w:hAnsi="Times New Roman"/>
                <w:b/>
              </w:rPr>
              <w:t>Ministerstwo wiodące i ministerstwa współpracujące</w:t>
            </w:r>
          </w:p>
          <w:bookmarkEnd w:id="0"/>
          <w:p w14:paraId="58939B92" w14:textId="3B08947A" w:rsidR="008D4AC8" w:rsidRPr="0095120B" w:rsidRDefault="008D4AC8" w:rsidP="008D4AC8">
            <w:pPr>
              <w:ind w:hanging="34"/>
              <w:rPr>
                <w:rFonts w:ascii="Times New Roman" w:hAnsi="Times New Roman"/>
              </w:rPr>
            </w:pPr>
            <w:r w:rsidRPr="0095120B">
              <w:rPr>
                <w:rFonts w:ascii="Times New Roman" w:hAnsi="Times New Roman"/>
              </w:rPr>
              <w:t>Ministerstwo Zdrowia</w:t>
            </w:r>
          </w:p>
          <w:p w14:paraId="44EAD937" w14:textId="77777777" w:rsidR="004663A3" w:rsidRPr="0095120B" w:rsidRDefault="004663A3" w:rsidP="00A41590">
            <w:pPr>
              <w:spacing w:line="240" w:lineRule="auto"/>
              <w:rPr>
                <w:rFonts w:ascii="Times New Roman" w:hAnsi="Times New Roman"/>
              </w:rPr>
            </w:pPr>
          </w:p>
          <w:p w14:paraId="308F0997" w14:textId="4D2FFC32" w:rsidR="008D4AC8" w:rsidRPr="0095120B" w:rsidRDefault="008D4AC8" w:rsidP="00A41590">
            <w:pPr>
              <w:spacing w:line="240" w:lineRule="auto"/>
              <w:rPr>
                <w:rFonts w:ascii="Times New Roman" w:hAnsi="Times New Roman"/>
                <w:b/>
              </w:rPr>
            </w:pPr>
            <w:r w:rsidRPr="0095120B">
              <w:rPr>
                <w:rFonts w:ascii="Times New Roman" w:hAnsi="Times New Roman"/>
                <w:b/>
              </w:rPr>
              <w:t xml:space="preserve">Osoba odpowiedzialna za projekt w randze Ministra, Sekretarza Stanu lub Podsekretarza Stanu </w:t>
            </w:r>
          </w:p>
          <w:p w14:paraId="4A56DBEB" w14:textId="009BDEAA" w:rsidR="008D4AC8" w:rsidRPr="0095120B" w:rsidRDefault="00D240E1" w:rsidP="008D4AC8">
            <w:pPr>
              <w:rPr>
                <w:rFonts w:ascii="Times New Roman" w:hAnsi="Times New Roman"/>
              </w:rPr>
            </w:pPr>
            <w:r w:rsidRPr="0095120B">
              <w:rPr>
                <w:rFonts w:ascii="Times New Roman" w:hAnsi="Times New Roman"/>
              </w:rPr>
              <w:t xml:space="preserve">Pan Marek Kos </w:t>
            </w:r>
            <w:r w:rsidR="002F1F41" w:rsidRPr="0095120B">
              <w:rPr>
                <w:rFonts w:ascii="Times New Roman" w:hAnsi="Times New Roman"/>
              </w:rPr>
              <w:t xml:space="preserve">– </w:t>
            </w:r>
            <w:r w:rsidRPr="0095120B">
              <w:rPr>
                <w:rFonts w:ascii="Times New Roman" w:hAnsi="Times New Roman"/>
              </w:rPr>
              <w:t xml:space="preserve">Podsekretarz Stanu w Ministerstwie Zdrowia </w:t>
            </w:r>
          </w:p>
          <w:p w14:paraId="34877F6B" w14:textId="77777777" w:rsidR="004663A3" w:rsidRPr="0095120B" w:rsidRDefault="008D4AC8" w:rsidP="004663A3">
            <w:pPr>
              <w:spacing w:before="120" w:line="240" w:lineRule="auto"/>
              <w:ind w:hanging="45"/>
              <w:rPr>
                <w:rFonts w:ascii="Times New Roman" w:hAnsi="Times New Roman"/>
                <w:b/>
              </w:rPr>
            </w:pPr>
            <w:r w:rsidRPr="0095120B">
              <w:rPr>
                <w:rFonts w:ascii="Times New Roman" w:hAnsi="Times New Roman"/>
                <w:b/>
              </w:rPr>
              <w:t>Kontakt do opiekuna merytorycznego projektu</w:t>
            </w:r>
          </w:p>
          <w:p w14:paraId="1C0C871F" w14:textId="49614B03" w:rsidR="00D240E1" w:rsidRPr="0095120B" w:rsidRDefault="00D240E1" w:rsidP="004663A3">
            <w:pPr>
              <w:spacing w:before="120" w:line="240" w:lineRule="auto"/>
              <w:ind w:left="-45"/>
              <w:rPr>
                <w:rFonts w:ascii="Times New Roman" w:hAnsi="Times New Roman"/>
                <w:b/>
              </w:rPr>
            </w:pPr>
            <w:r w:rsidRPr="0095120B">
              <w:rPr>
                <w:rFonts w:ascii="Times New Roman" w:hAnsi="Times New Roman"/>
              </w:rPr>
              <w:t xml:space="preserve">Pan Mateusz Oczkowski – Zastępca Dyrektora Departamentu Polityki Lekowej i Farmacji w Ministerstwie Zdrowia </w:t>
            </w:r>
          </w:p>
          <w:p w14:paraId="0280F3FE" w14:textId="07288ACD" w:rsidR="00371783" w:rsidRPr="00352EAA" w:rsidRDefault="00D240E1" w:rsidP="00352EAA">
            <w:pPr>
              <w:spacing w:line="240" w:lineRule="auto"/>
              <w:ind w:hanging="34"/>
              <w:rPr>
                <w:rFonts w:ascii="Times New Roman" w:hAnsi="Times New Roman"/>
                <w:u w:val="single"/>
                <w:lang w:val="en-US"/>
              </w:rPr>
            </w:pPr>
            <w:r w:rsidRPr="0095120B">
              <w:rPr>
                <w:rFonts w:ascii="Times New Roman" w:hAnsi="Times New Roman"/>
                <w:lang w:val="en-US"/>
              </w:rPr>
              <w:t xml:space="preserve">tel.: 22 53 00 191, e-mail: </w:t>
            </w:r>
            <w:hyperlink r:id="rId11" w:history="1">
              <w:r w:rsidRPr="003F6220">
                <w:rPr>
                  <w:rStyle w:val="Hipercze"/>
                  <w:rFonts w:ascii="Times New Roman" w:hAnsi="Times New Roman"/>
                  <w:color w:val="auto"/>
                  <w:u w:val="none"/>
                  <w:lang w:val="en-US"/>
                </w:rPr>
                <w:t>dep-pl@mz.gov.pl</w:t>
              </w:r>
            </w:hyperlink>
            <w:r w:rsidR="003F6220" w:rsidRPr="003F6220">
              <w:t xml:space="preserve"> </w:t>
            </w:r>
          </w:p>
        </w:tc>
        <w:tc>
          <w:tcPr>
            <w:tcW w:w="4810" w:type="dxa"/>
            <w:gridSpan w:val="11"/>
            <w:shd w:val="clear" w:color="auto" w:fill="FFFFFF"/>
          </w:tcPr>
          <w:p w14:paraId="281D07D4" w14:textId="1545346A" w:rsidR="008D4AC8" w:rsidRPr="0095120B" w:rsidRDefault="008D4AC8" w:rsidP="00A41590">
            <w:pPr>
              <w:spacing w:line="240" w:lineRule="auto"/>
              <w:rPr>
                <w:rFonts w:ascii="Times New Roman" w:hAnsi="Times New Roman"/>
                <w:b/>
                <w:sz w:val="21"/>
                <w:szCs w:val="21"/>
              </w:rPr>
            </w:pPr>
            <w:r w:rsidRPr="0095120B">
              <w:rPr>
                <w:rFonts w:ascii="Times New Roman" w:hAnsi="Times New Roman"/>
                <w:b/>
                <w:sz w:val="21"/>
                <w:szCs w:val="21"/>
              </w:rPr>
              <w:t>Data sporządzenia</w:t>
            </w:r>
            <w:r w:rsidRPr="0095120B">
              <w:rPr>
                <w:rFonts w:ascii="Times New Roman" w:hAnsi="Times New Roman"/>
                <w:b/>
                <w:sz w:val="21"/>
                <w:szCs w:val="21"/>
              </w:rPr>
              <w:br/>
            </w:r>
            <w:r w:rsidR="00C35B9F">
              <w:rPr>
                <w:rFonts w:ascii="Times New Roman" w:hAnsi="Times New Roman"/>
              </w:rPr>
              <w:t>20</w:t>
            </w:r>
            <w:r w:rsidR="00A51C39">
              <w:rPr>
                <w:rFonts w:ascii="Times New Roman" w:hAnsi="Times New Roman"/>
              </w:rPr>
              <w:t>.0</w:t>
            </w:r>
            <w:r w:rsidR="007D2A2B">
              <w:rPr>
                <w:rFonts w:ascii="Times New Roman" w:hAnsi="Times New Roman"/>
              </w:rPr>
              <w:t>5</w:t>
            </w:r>
            <w:r w:rsidR="00A51C39">
              <w:rPr>
                <w:rFonts w:ascii="Times New Roman" w:hAnsi="Times New Roman"/>
              </w:rPr>
              <w:t>.</w:t>
            </w:r>
            <w:r w:rsidR="006C0FA6" w:rsidRPr="0095120B">
              <w:rPr>
                <w:rFonts w:ascii="Times New Roman" w:hAnsi="Times New Roman"/>
              </w:rPr>
              <w:t>202</w:t>
            </w:r>
            <w:r w:rsidR="001644D8">
              <w:rPr>
                <w:rFonts w:ascii="Times New Roman" w:hAnsi="Times New Roman"/>
              </w:rPr>
              <w:t>5</w:t>
            </w:r>
            <w:r w:rsidR="00BD5FF4" w:rsidRPr="0095120B">
              <w:rPr>
                <w:rFonts w:ascii="Times New Roman" w:hAnsi="Times New Roman"/>
              </w:rPr>
              <w:t xml:space="preserve"> r.</w:t>
            </w:r>
            <w:r w:rsidR="00BD5FF4" w:rsidRPr="0095120B">
              <w:rPr>
                <w:rFonts w:ascii="Times New Roman" w:hAnsi="Times New Roman"/>
                <w:sz w:val="21"/>
                <w:szCs w:val="21"/>
              </w:rPr>
              <w:t xml:space="preserve"> </w:t>
            </w:r>
          </w:p>
          <w:p w14:paraId="7CC21E77" w14:textId="77777777" w:rsidR="008D4AC8" w:rsidRPr="0095120B" w:rsidRDefault="008D4AC8" w:rsidP="00A41590">
            <w:pPr>
              <w:spacing w:line="240" w:lineRule="auto"/>
              <w:rPr>
                <w:rFonts w:ascii="Times New Roman" w:hAnsi="Times New Roman"/>
                <w:b/>
              </w:rPr>
            </w:pPr>
          </w:p>
          <w:p w14:paraId="3E17B2E4" w14:textId="3361AB78" w:rsidR="008D4AC8" w:rsidRPr="0095120B" w:rsidRDefault="008D4AC8" w:rsidP="00A41590">
            <w:pPr>
              <w:spacing w:line="240" w:lineRule="auto"/>
              <w:rPr>
                <w:rFonts w:ascii="Times New Roman" w:hAnsi="Times New Roman"/>
                <w:b/>
              </w:rPr>
            </w:pPr>
            <w:r w:rsidRPr="0095120B">
              <w:rPr>
                <w:rFonts w:ascii="Times New Roman" w:hAnsi="Times New Roman"/>
                <w:b/>
              </w:rPr>
              <w:t xml:space="preserve">Źródło: </w:t>
            </w:r>
            <w:bookmarkStart w:id="1" w:name="Lista1"/>
          </w:p>
          <w:bookmarkEnd w:id="1" w:displacedByCustomXml="next"/>
          <w:sdt>
            <w:sdtPr>
              <w:rPr>
                <w:rFonts w:ascii="Times New Roman" w:hAnsi="Times New Roman"/>
              </w:rPr>
              <w:id w:val="-1451614635"/>
              <w:placeholder>
                <w:docPart w:val="EB47251665E24480B497F5A2B814D928"/>
              </w:placeholder>
              <w:dropDownList>
                <w:listItem w:value="Wybierz element."/>
                <w:listItem w:displayText="Exposé PRM" w:value="Exposé PRM"/>
                <w:listItem w:displayText="Decyzja PRM/RM" w:value="Decyzja PRM/RM"/>
                <w:listItem w:displayText="Prawo UE" w:value="Prawo UE"/>
                <w:listItem w:displayText="Orzeczenie TK" w:value="Orzeczenie TK"/>
                <w:listItem w:displayText="Upoważnienie ustawowe" w:value="Upoważnienie ustawowe"/>
                <w:listItem w:displayText="Strategia" w:value="Strategia"/>
                <w:listItem w:displayText="Inne" w:value="Inne"/>
              </w:dropDownList>
            </w:sdtPr>
            <w:sdtContent>
              <w:p w14:paraId="27E5C184" w14:textId="77777777" w:rsidR="00675236" w:rsidRPr="0095120B" w:rsidRDefault="00675236" w:rsidP="00675236">
                <w:pPr>
                  <w:spacing w:line="240" w:lineRule="auto"/>
                  <w:rPr>
                    <w:rFonts w:ascii="Times New Roman" w:hAnsi="Times New Roman"/>
                  </w:rPr>
                </w:pPr>
                <w:r w:rsidRPr="0095120B">
                  <w:rPr>
                    <w:rFonts w:ascii="Times New Roman" w:hAnsi="Times New Roman"/>
                  </w:rPr>
                  <w:t>Inne</w:t>
                </w:r>
              </w:p>
            </w:sdtContent>
          </w:sdt>
          <w:p w14:paraId="343DB98C" w14:textId="77777777" w:rsidR="00675236" w:rsidRPr="0095120B" w:rsidRDefault="00675236" w:rsidP="00675236">
            <w:pPr>
              <w:spacing w:line="240" w:lineRule="auto"/>
              <w:rPr>
                <w:rFonts w:ascii="Times New Roman" w:hAnsi="Times New Roman"/>
              </w:rPr>
            </w:pPr>
            <w:r w:rsidRPr="0095120B">
              <w:rPr>
                <w:rFonts w:ascii="Times New Roman" w:hAnsi="Times New Roman"/>
              </w:rPr>
              <w:t>Decyzja Ministra Zdrowia</w:t>
            </w:r>
          </w:p>
          <w:p w14:paraId="0350625E" w14:textId="77777777" w:rsidR="008D4AC8" w:rsidRPr="0095120B" w:rsidRDefault="008D4AC8" w:rsidP="00A41590">
            <w:pPr>
              <w:spacing w:line="240" w:lineRule="auto"/>
              <w:rPr>
                <w:rFonts w:ascii="Times New Roman" w:hAnsi="Times New Roman"/>
              </w:rPr>
            </w:pPr>
          </w:p>
          <w:p w14:paraId="3DDA4F8B" w14:textId="52CA4CA6" w:rsidR="008D4AC8" w:rsidRPr="0095120B" w:rsidRDefault="008D4AC8" w:rsidP="00A41590">
            <w:pPr>
              <w:spacing w:before="120" w:line="240" w:lineRule="auto"/>
              <w:rPr>
                <w:rFonts w:ascii="Times New Roman" w:hAnsi="Times New Roman"/>
                <w:b/>
              </w:rPr>
            </w:pPr>
            <w:r w:rsidRPr="0095120B">
              <w:rPr>
                <w:rFonts w:ascii="Times New Roman" w:hAnsi="Times New Roman"/>
                <w:b/>
              </w:rPr>
              <w:t xml:space="preserve">Nr w </w:t>
            </w:r>
            <w:r w:rsidR="005E3E4F">
              <w:rPr>
                <w:rFonts w:ascii="Times New Roman" w:hAnsi="Times New Roman"/>
                <w:b/>
              </w:rPr>
              <w:t>W</w:t>
            </w:r>
            <w:r w:rsidRPr="0095120B">
              <w:rPr>
                <w:rFonts w:ascii="Times New Roman" w:hAnsi="Times New Roman"/>
                <w:b/>
              </w:rPr>
              <w:t xml:space="preserve">ykazie prac </w:t>
            </w:r>
            <w:r w:rsidR="00BD5FF4" w:rsidRPr="0095120B">
              <w:rPr>
                <w:rFonts w:ascii="Times New Roman" w:hAnsi="Times New Roman"/>
                <w:b/>
              </w:rPr>
              <w:t>legislacyjnych i programowych Rady Ministrów</w:t>
            </w:r>
            <w:r w:rsidR="00FE3A40" w:rsidRPr="0095120B">
              <w:rPr>
                <w:rFonts w:ascii="Times New Roman" w:hAnsi="Times New Roman"/>
                <w:b/>
              </w:rPr>
              <w:t>:</w:t>
            </w:r>
            <w:r w:rsidR="00BD5FF4" w:rsidRPr="0095120B">
              <w:rPr>
                <w:rFonts w:ascii="Times New Roman" w:hAnsi="Times New Roman"/>
                <w:b/>
              </w:rPr>
              <w:t xml:space="preserve"> </w:t>
            </w:r>
          </w:p>
          <w:p w14:paraId="7A2D73D0" w14:textId="5C86CC2A" w:rsidR="00BD5FF4" w:rsidRPr="0095120B" w:rsidRDefault="00BD5FF4" w:rsidP="00183B42">
            <w:pPr>
              <w:spacing w:line="240" w:lineRule="auto"/>
              <w:rPr>
                <w:rFonts w:ascii="Times New Roman" w:hAnsi="Times New Roman"/>
              </w:rPr>
            </w:pPr>
          </w:p>
          <w:p w14:paraId="248321CE" w14:textId="5EC1D9C4" w:rsidR="008D4AC8" w:rsidRPr="0095120B" w:rsidRDefault="004663A3" w:rsidP="00BD5FF4">
            <w:pPr>
              <w:spacing w:line="240" w:lineRule="auto"/>
              <w:rPr>
                <w:rFonts w:ascii="Times New Roman" w:hAnsi="Times New Roman"/>
                <w:bCs/>
                <w:sz w:val="28"/>
                <w:szCs w:val="28"/>
              </w:rPr>
            </w:pPr>
            <w:r w:rsidRPr="0095120B">
              <w:rPr>
                <w:rFonts w:ascii="Times New Roman" w:hAnsi="Times New Roman"/>
                <w:bCs/>
              </w:rPr>
              <w:t xml:space="preserve">UD </w:t>
            </w:r>
            <w:r w:rsidR="00152685">
              <w:rPr>
                <w:rFonts w:ascii="Times New Roman" w:hAnsi="Times New Roman"/>
                <w:bCs/>
              </w:rPr>
              <w:t>187</w:t>
            </w:r>
          </w:p>
        </w:tc>
      </w:tr>
      <w:tr w:rsidR="0095120B" w:rsidRPr="0095120B" w14:paraId="01E9D375" w14:textId="77777777" w:rsidTr="004663A3">
        <w:trPr>
          <w:trHeight w:val="142"/>
        </w:trPr>
        <w:tc>
          <w:tcPr>
            <w:tcW w:w="10803" w:type="dxa"/>
            <w:gridSpan w:val="27"/>
            <w:shd w:val="clear" w:color="auto" w:fill="99CCFF"/>
          </w:tcPr>
          <w:p w14:paraId="0FC489DE" w14:textId="77777777" w:rsidR="008D4AC8" w:rsidRPr="0095120B" w:rsidRDefault="008D4AC8" w:rsidP="00A41590">
            <w:pPr>
              <w:spacing w:line="240" w:lineRule="auto"/>
              <w:ind w:left="57"/>
              <w:jc w:val="center"/>
              <w:rPr>
                <w:rFonts w:ascii="Times New Roman" w:hAnsi="Times New Roman"/>
                <w:b/>
                <w:sz w:val="32"/>
                <w:szCs w:val="32"/>
              </w:rPr>
            </w:pPr>
            <w:r w:rsidRPr="0095120B">
              <w:rPr>
                <w:rFonts w:ascii="Times New Roman" w:hAnsi="Times New Roman"/>
                <w:b/>
                <w:sz w:val="32"/>
                <w:szCs w:val="32"/>
              </w:rPr>
              <w:t>OCENA SKUTKÓW REGULACJI</w:t>
            </w:r>
          </w:p>
        </w:tc>
      </w:tr>
      <w:tr w:rsidR="0095120B" w:rsidRPr="0095120B" w14:paraId="7FD1EE6A" w14:textId="77777777" w:rsidTr="004663A3">
        <w:trPr>
          <w:trHeight w:val="333"/>
        </w:trPr>
        <w:tc>
          <w:tcPr>
            <w:tcW w:w="10803" w:type="dxa"/>
            <w:gridSpan w:val="27"/>
            <w:shd w:val="clear" w:color="auto" w:fill="99CCFF"/>
            <w:vAlign w:val="center"/>
          </w:tcPr>
          <w:p w14:paraId="0261DFC3" w14:textId="77777777" w:rsidR="008D4AC8" w:rsidRPr="0095120B" w:rsidRDefault="008D4AC8" w:rsidP="008D4AC8">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rPr>
              <w:t>Jaki problem jest rozwiązywany?</w:t>
            </w:r>
            <w:bookmarkStart w:id="2" w:name="Wybór1"/>
            <w:bookmarkEnd w:id="2"/>
          </w:p>
        </w:tc>
      </w:tr>
      <w:tr w:rsidR="0095120B" w:rsidRPr="0095120B" w14:paraId="671156A2" w14:textId="77777777" w:rsidTr="00450B2C">
        <w:trPr>
          <w:trHeight w:val="142"/>
        </w:trPr>
        <w:tc>
          <w:tcPr>
            <w:tcW w:w="10803" w:type="dxa"/>
            <w:gridSpan w:val="27"/>
            <w:shd w:val="clear" w:color="auto" w:fill="FFFFFF"/>
          </w:tcPr>
          <w:p w14:paraId="314230F3" w14:textId="2D511379" w:rsidR="00905277" w:rsidRDefault="00675236" w:rsidP="004663A3">
            <w:pPr>
              <w:spacing w:line="240" w:lineRule="auto"/>
              <w:jc w:val="both"/>
              <w:rPr>
                <w:rFonts w:ascii="Times New Roman" w:hAnsi="Times New Roman"/>
              </w:rPr>
            </w:pPr>
            <w:r w:rsidRPr="0095120B">
              <w:rPr>
                <w:rFonts w:ascii="Times New Roman" w:hAnsi="Times New Roman"/>
              </w:rPr>
              <w:t>Projekt ustawy o zmianie ustawy o refundacji leków, środków spożywczych specjalnego przeznaczenia żywieniowego oraz wyrobów medycznych oraz niektórych innych ustaw, zwany dalej „projektem ustawy”, obejmuje kompleksow</w:t>
            </w:r>
            <w:r w:rsidR="005817D5" w:rsidRPr="0095120B">
              <w:rPr>
                <w:rFonts w:ascii="Times New Roman" w:hAnsi="Times New Roman"/>
              </w:rPr>
              <w:t>e zmiany</w:t>
            </w:r>
            <w:r w:rsidRPr="0095120B">
              <w:rPr>
                <w:rFonts w:ascii="Times New Roman" w:hAnsi="Times New Roman"/>
              </w:rPr>
              <w:t xml:space="preserve"> przepisów dotyczących </w:t>
            </w:r>
            <w:r w:rsidR="00B87F3E" w:rsidRPr="0095120B">
              <w:rPr>
                <w:rFonts w:ascii="Times New Roman" w:hAnsi="Times New Roman"/>
              </w:rPr>
              <w:t>refundacji</w:t>
            </w:r>
            <w:r w:rsidR="00450B2C" w:rsidRPr="0095120B">
              <w:rPr>
                <w:rFonts w:ascii="Times New Roman" w:hAnsi="Times New Roman"/>
              </w:rPr>
              <w:t xml:space="preserve"> ww. leków, środków lub wyrobów</w:t>
            </w:r>
            <w:r w:rsidR="0090718F">
              <w:rPr>
                <w:rFonts w:ascii="Times New Roman" w:hAnsi="Times New Roman"/>
              </w:rPr>
              <w:t>.</w:t>
            </w:r>
            <w:r w:rsidRPr="0095120B">
              <w:rPr>
                <w:rFonts w:ascii="Times New Roman" w:hAnsi="Times New Roman"/>
              </w:rPr>
              <w:t xml:space="preserve"> </w:t>
            </w:r>
            <w:r w:rsidR="0090718F">
              <w:rPr>
                <w:rFonts w:ascii="Times New Roman" w:hAnsi="Times New Roman"/>
              </w:rPr>
              <w:t>W</w:t>
            </w:r>
            <w:r w:rsidRPr="0095120B">
              <w:rPr>
                <w:rFonts w:ascii="Times New Roman" w:hAnsi="Times New Roman"/>
              </w:rPr>
              <w:t xml:space="preserve"> obecnym kształcie </w:t>
            </w:r>
            <w:r w:rsidR="00450B2C" w:rsidRPr="0095120B">
              <w:rPr>
                <w:rFonts w:ascii="Times New Roman" w:hAnsi="Times New Roman"/>
              </w:rPr>
              <w:t>przepisy te</w:t>
            </w:r>
            <w:r w:rsidR="00B87F3E" w:rsidRPr="0095120B">
              <w:rPr>
                <w:rFonts w:ascii="Times New Roman" w:hAnsi="Times New Roman"/>
              </w:rPr>
              <w:t> </w:t>
            </w:r>
            <w:r w:rsidR="005817D5" w:rsidRPr="0095120B">
              <w:rPr>
                <w:rFonts w:ascii="Times New Roman" w:hAnsi="Times New Roman"/>
              </w:rPr>
              <w:t>ograniczają możliwość refundacji</w:t>
            </w:r>
            <w:r w:rsidR="00450B2C" w:rsidRPr="0095120B">
              <w:rPr>
                <w:rFonts w:ascii="Times New Roman" w:hAnsi="Times New Roman"/>
              </w:rPr>
              <w:t xml:space="preserve"> wymienionego asortymentu</w:t>
            </w:r>
            <w:r w:rsidRPr="0095120B">
              <w:rPr>
                <w:rFonts w:ascii="Times New Roman" w:hAnsi="Times New Roman"/>
              </w:rPr>
              <w:t>.</w:t>
            </w:r>
          </w:p>
          <w:p w14:paraId="34F63CF0" w14:textId="417538C1" w:rsidR="00905277" w:rsidRDefault="00675236" w:rsidP="004663A3">
            <w:pPr>
              <w:spacing w:line="240" w:lineRule="auto"/>
              <w:jc w:val="both"/>
              <w:rPr>
                <w:rFonts w:ascii="Times New Roman" w:hAnsi="Times New Roman"/>
              </w:rPr>
            </w:pPr>
            <w:r w:rsidRPr="0095120B">
              <w:rPr>
                <w:rFonts w:ascii="Times New Roman" w:hAnsi="Times New Roman"/>
              </w:rPr>
              <w:t>Wiele zaproponowanych zmian wynika z potrzeby doprecyzowania przepisów</w:t>
            </w:r>
            <w:r w:rsidR="00905277">
              <w:rPr>
                <w:rFonts w:ascii="Times New Roman" w:hAnsi="Times New Roman"/>
              </w:rPr>
              <w:t xml:space="preserve"> </w:t>
            </w:r>
            <w:r w:rsidR="00905277" w:rsidRPr="0095120B">
              <w:rPr>
                <w:rFonts w:ascii="Times New Roman" w:hAnsi="Times New Roman"/>
              </w:rPr>
              <w:t>ustawy z dnia 12 maja 2011 r. o refundacji leków, środków spożywczych specjalnego przeznaczenia żywieniowego oraz wyrobów medycznych (Dz. U. z 2024 r. poz. 930</w:t>
            </w:r>
            <w:r w:rsidR="006660AB">
              <w:rPr>
                <w:rFonts w:ascii="Times New Roman" w:hAnsi="Times New Roman"/>
              </w:rPr>
              <w:t>, z późn. zm.</w:t>
            </w:r>
            <w:r w:rsidR="00905277" w:rsidRPr="0095120B">
              <w:rPr>
                <w:rFonts w:ascii="Times New Roman" w:hAnsi="Times New Roman"/>
              </w:rPr>
              <w:t>)</w:t>
            </w:r>
            <w:r w:rsidRPr="0095120B">
              <w:rPr>
                <w:rFonts w:ascii="Times New Roman" w:hAnsi="Times New Roman"/>
              </w:rPr>
              <w:t xml:space="preserve">, </w:t>
            </w:r>
            <w:r w:rsidR="00905277">
              <w:rPr>
                <w:rFonts w:ascii="Times New Roman" w:hAnsi="Times New Roman"/>
              </w:rPr>
              <w:t xml:space="preserve">zwanej dalej „ustawą refundacyjną”, </w:t>
            </w:r>
            <w:r w:rsidRPr="0095120B">
              <w:rPr>
                <w:rFonts w:ascii="Times New Roman" w:hAnsi="Times New Roman"/>
              </w:rPr>
              <w:t>które obecnie budzą wątpliwości</w:t>
            </w:r>
            <w:r w:rsidR="00070194" w:rsidRPr="0095120B">
              <w:rPr>
                <w:rFonts w:ascii="Times New Roman" w:hAnsi="Times New Roman"/>
              </w:rPr>
              <w:t xml:space="preserve"> po nowelizacji </w:t>
            </w:r>
            <w:r w:rsidR="00905277">
              <w:rPr>
                <w:rFonts w:ascii="Times New Roman" w:hAnsi="Times New Roman"/>
              </w:rPr>
              <w:t xml:space="preserve">dokonanej </w:t>
            </w:r>
            <w:r w:rsidR="00070194" w:rsidRPr="0095120B">
              <w:rPr>
                <w:rFonts w:ascii="Times New Roman" w:hAnsi="Times New Roman"/>
              </w:rPr>
              <w:t>ustaw</w:t>
            </w:r>
            <w:r w:rsidR="00905277">
              <w:rPr>
                <w:rFonts w:ascii="Times New Roman" w:hAnsi="Times New Roman"/>
              </w:rPr>
              <w:t>ą</w:t>
            </w:r>
            <w:r w:rsidR="00070194" w:rsidRPr="0095120B">
              <w:rPr>
                <w:rFonts w:ascii="Times New Roman" w:hAnsi="Times New Roman"/>
              </w:rPr>
              <w:t xml:space="preserve"> z dnia 17 sierpnia 2023 r. o zmianie ustawy o refundacji leków, środków spożywczych specjalnego przeznaczenia żywieniowego oraz wyrobów medycznych oraz niektórych innych ustaw</w:t>
            </w:r>
            <w:r w:rsidR="005817D5" w:rsidRPr="0095120B">
              <w:rPr>
                <w:rFonts w:ascii="Times New Roman" w:hAnsi="Times New Roman"/>
              </w:rPr>
              <w:t xml:space="preserve"> </w:t>
            </w:r>
            <w:r w:rsidR="00070194" w:rsidRPr="0095120B">
              <w:rPr>
                <w:rFonts w:ascii="Times New Roman" w:hAnsi="Times New Roman"/>
              </w:rPr>
              <w:t>(Dz. U. poz. 1938</w:t>
            </w:r>
            <w:r w:rsidR="00236C6B" w:rsidRPr="0095120B">
              <w:rPr>
                <w:rFonts w:ascii="Times New Roman" w:hAnsi="Times New Roman"/>
              </w:rPr>
              <w:t xml:space="preserve"> </w:t>
            </w:r>
            <w:r w:rsidR="00152685" w:rsidRPr="00152685">
              <w:rPr>
                <w:rFonts w:ascii="Times New Roman" w:hAnsi="Times New Roman"/>
              </w:rPr>
              <w:t>oraz z 2025 r. poz. 129</w:t>
            </w:r>
            <w:r w:rsidR="00070194" w:rsidRPr="0095120B">
              <w:rPr>
                <w:rFonts w:ascii="Times New Roman" w:hAnsi="Times New Roman"/>
              </w:rPr>
              <w:t>).</w:t>
            </w:r>
          </w:p>
          <w:p w14:paraId="6AA843C6" w14:textId="52B172AA" w:rsidR="008D4AC8" w:rsidRPr="0095120B" w:rsidRDefault="00675236" w:rsidP="004663A3">
            <w:pPr>
              <w:spacing w:line="240" w:lineRule="auto"/>
              <w:jc w:val="both"/>
              <w:rPr>
                <w:rFonts w:ascii="Times New Roman" w:hAnsi="Times New Roman"/>
              </w:rPr>
            </w:pPr>
            <w:r w:rsidRPr="0095120B">
              <w:rPr>
                <w:rFonts w:ascii="Times New Roman" w:hAnsi="Times New Roman"/>
              </w:rPr>
              <w:t xml:space="preserve">Projekt jest także odpowiedzią na wnioski kierowane do Ministra Zdrowia od przedsiębiorców </w:t>
            </w:r>
            <w:r w:rsidR="00905277">
              <w:rPr>
                <w:rFonts w:ascii="Times New Roman" w:hAnsi="Times New Roman"/>
              </w:rPr>
              <w:t>działających</w:t>
            </w:r>
            <w:r w:rsidR="00905277" w:rsidRPr="0095120B">
              <w:rPr>
                <w:rFonts w:ascii="Times New Roman" w:hAnsi="Times New Roman"/>
              </w:rPr>
              <w:t xml:space="preserve"> </w:t>
            </w:r>
            <w:r w:rsidRPr="0095120B">
              <w:rPr>
                <w:rFonts w:ascii="Times New Roman" w:hAnsi="Times New Roman"/>
              </w:rPr>
              <w:t>na rynku farmaceutycznym, pacjentów i innych grup społecznych, na których funkcjonowanie wpływają przepisy nowelizowanej ustawy refundacyjn</w:t>
            </w:r>
            <w:r w:rsidR="00905277">
              <w:rPr>
                <w:rFonts w:ascii="Times New Roman" w:hAnsi="Times New Roman"/>
              </w:rPr>
              <w:t>ej</w:t>
            </w:r>
            <w:r w:rsidRPr="0095120B">
              <w:rPr>
                <w:rFonts w:ascii="Times New Roman" w:hAnsi="Times New Roman"/>
              </w:rPr>
              <w:t xml:space="preserve">. </w:t>
            </w:r>
            <w:r w:rsidR="00070194" w:rsidRPr="0095120B">
              <w:rPr>
                <w:rFonts w:ascii="Times New Roman" w:hAnsi="Times New Roman"/>
              </w:rPr>
              <w:t xml:space="preserve">Projekt </w:t>
            </w:r>
            <w:r w:rsidR="002F1F41" w:rsidRPr="0095120B">
              <w:rPr>
                <w:rFonts w:ascii="Times New Roman" w:hAnsi="Times New Roman"/>
              </w:rPr>
              <w:t xml:space="preserve">ustawy </w:t>
            </w:r>
            <w:r w:rsidR="00070194" w:rsidRPr="0095120B">
              <w:rPr>
                <w:rFonts w:ascii="Times New Roman" w:hAnsi="Times New Roman"/>
              </w:rPr>
              <w:t>przewiduje również wdrożenie rozwiązań prawno-organizacyjnych, które w</w:t>
            </w:r>
            <w:r w:rsidR="00B87F3E" w:rsidRPr="0095120B">
              <w:rPr>
                <w:rFonts w:ascii="Times New Roman" w:hAnsi="Times New Roman"/>
              </w:rPr>
              <w:t> </w:t>
            </w:r>
            <w:r w:rsidR="00070194" w:rsidRPr="0095120B">
              <w:rPr>
                <w:rFonts w:ascii="Times New Roman" w:hAnsi="Times New Roman"/>
              </w:rPr>
              <w:t>sposób kompleksowy i skoordynowany będą realizowały priorytety polityki zdrowotnej w obszarze ochrony zdrowia.</w:t>
            </w:r>
          </w:p>
          <w:p w14:paraId="42944DB3" w14:textId="7351EA52" w:rsidR="00E640F7" w:rsidRPr="0095120B" w:rsidRDefault="00E640F7" w:rsidP="004663A3">
            <w:pPr>
              <w:pStyle w:val="A-normalny"/>
              <w:spacing w:before="0" w:after="0" w:line="240" w:lineRule="auto"/>
              <w:ind w:left="720"/>
              <w:contextualSpacing/>
              <w:rPr>
                <w:rFonts w:ascii="Times New Roman" w:hAnsi="Times New Roman"/>
                <w:sz w:val="22"/>
                <w:szCs w:val="22"/>
              </w:rPr>
            </w:pPr>
            <w:r w:rsidRPr="0095120B">
              <w:rPr>
                <w:rFonts w:ascii="Times New Roman" w:hAnsi="Times New Roman"/>
                <w:sz w:val="22"/>
                <w:szCs w:val="22"/>
              </w:rPr>
              <w:t>Zidentyfikowan</w:t>
            </w:r>
            <w:r w:rsidR="00F01E2F" w:rsidRPr="0095120B">
              <w:rPr>
                <w:rFonts w:ascii="Times New Roman" w:hAnsi="Times New Roman"/>
                <w:sz w:val="22"/>
                <w:szCs w:val="22"/>
              </w:rPr>
              <w:t xml:space="preserve">o następujące </w:t>
            </w:r>
            <w:r w:rsidRPr="0095120B">
              <w:rPr>
                <w:rFonts w:ascii="Times New Roman" w:hAnsi="Times New Roman"/>
                <w:sz w:val="22"/>
                <w:szCs w:val="22"/>
              </w:rPr>
              <w:t>problemy:</w:t>
            </w:r>
          </w:p>
          <w:p w14:paraId="0BCAF812" w14:textId="57D0A516" w:rsidR="00E640F7" w:rsidRPr="0095120B" w:rsidRDefault="002A6645" w:rsidP="004663A3">
            <w:pPr>
              <w:pStyle w:val="A-normalny"/>
              <w:numPr>
                <w:ilvl w:val="0"/>
                <w:numId w:val="38"/>
              </w:numPr>
              <w:spacing w:line="240" w:lineRule="auto"/>
              <w:contextualSpacing/>
              <w:rPr>
                <w:rFonts w:ascii="Times New Roman" w:hAnsi="Times New Roman"/>
                <w:sz w:val="22"/>
                <w:szCs w:val="22"/>
              </w:rPr>
            </w:pPr>
            <w:r>
              <w:rPr>
                <w:rFonts w:ascii="Times New Roman" w:hAnsi="Times New Roman"/>
                <w:sz w:val="22"/>
                <w:szCs w:val="22"/>
              </w:rPr>
              <w:t>wzór na wielkość dostaw</w:t>
            </w:r>
            <w:r w:rsidRPr="0095120B">
              <w:rPr>
                <w:rFonts w:ascii="Times New Roman" w:hAnsi="Times New Roman"/>
                <w:sz w:val="22"/>
                <w:szCs w:val="22"/>
              </w:rPr>
              <w:t xml:space="preserve"> </w:t>
            </w:r>
            <w:r w:rsidR="00E640F7" w:rsidRPr="0095120B">
              <w:rPr>
                <w:rFonts w:ascii="Times New Roman" w:hAnsi="Times New Roman"/>
                <w:sz w:val="22"/>
                <w:szCs w:val="22"/>
              </w:rPr>
              <w:t xml:space="preserve">determinujący wielkości dostaw leków, jakie </w:t>
            </w:r>
            <w:r w:rsidR="00905277">
              <w:rPr>
                <w:rFonts w:ascii="Times New Roman" w:hAnsi="Times New Roman"/>
                <w:sz w:val="22"/>
                <w:szCs w:val="22"/>
              </w:rPr>
              <w:t xml:space="preserve">na rynek </w:t>
            </w:r>
            <w:r w:rsidR="00E640F7" w:rsidRPr="0095120B">
              <w:rPr>
                <w:rFonts w:ascii="Times New Roman" w:hAnsi="Times New Roman"/>
                <w:sz w:val="22"/>
                <w:szCs w:val="22"/>
              </w:rPr>
              <w:t>musi dostarczyć podmiot odpowiedzialny</w:t>
            </w:r>
            <w:r w:rsidR="00450B2C" w:rsidRPr="0095120B">
              <w:rPr>
                <w:rFonts w:ascii="Times New Roman" w:hAnsi="Times New Roman"/>
                <w:sz w:val="22"/>
                <w:szCs w:val="22"/>
              </w:rPr>
              <w:t xml:space="preserve"> (wnioskodawca)</w:t>
            </w:r>
            <w:r w:rsidR="00E640F7" w:rsidRPr="0095120B">
              <w:rPr>
                <w:rFonts w:ascii="Times New Roman" w:hAnsi="Times New Roman"/>
                <w:sz w:val="22"/>
                <w:szCs w:val="22"/>
              </w:rPr>
              <w:t xml:space="preserve">, jest </w:t>
            </w:r>
            <w:r w:rsidR="00450B2C" w:rsidRPr="0095120B">
              <w:rPr>
                <w:rFonts w:ascii="Times New Roman" w:hAnsi="Times New Roman"/>
                <w:sz w:val="22"/>
                <w:szCs w:val="22"/>
              </w:rPr>
              <w:t>nadmiernie skomplikowany</w:t>
            </w:r>
            <w:r w:rsidR="0090718F">
              <w:rPr>
                <w:rFonts w:ascii="Times New Roman" w:hAnsi="Times New Roman"/>
                <w:sz w:val="22"/>
                <w:szCs w:val="22"/>
              </w:rPr>
              <w:t>.</w:t>
            </w:r>
            <w:r w:rsidR="00E640F7" w:rsidRPr="0095120B">
              <w:rPr>
                <w:rFonts w:ascii="Times New Roman" w:hAnsi="Times New Roman"/>
                <w:sz w:val="22"/>
                <w:szCs w:val="22"/>
              </w:rPr>
              <w:t xml:space="preserve"> </w:t>
            </w:r>
            <w:r w:rsidR="0090718F">
              <w:rPr>
                <w:rFonts w:ascii="Times New Roman" w:hAnsi="Times New Roman"/>
                <w:sz w:val="22"/>
                <w:szCs w:val="22"/>
              </w:rPr>
              <w:t>W</w:t>
            </w:r>
            <w:r w:rsidR="00E640F7" w:rsidRPr="0095120B">
              <w:rPr>
                <w:rFonts w:ascii="Times New Roman" w:hAnsi="Times New Roman"/>
                <w:sz w:val="22"/>
                <w:szCs w:val="22"/>
              </w:rPr>
              <w:t xml:space="preserve">ymóg przedstawiania </w:t>
            </w:r>
            <w:r w:rsidR="00540921" w:rsidRPr="0095120B">
              <w:rPr>
                <w:rFonts w:ascii="Times New Roman" w:hAnsi="Times New Roman"/>
                <w:sz w:val="22"/>
                <w:szCs w:val="22"/>
              </w:rPr>
              <w:t>powyższego</w:t>
            </w:r>
            <w:r w:rsidR="00E640F7" w:rsidRPr="0095120B">
              <w:rPr>
                <w:rFonts w:ascii="Times New Roman" w:hAnsi="Times New Roman"/>
                <w:sz w:val="22"/>
                <w:szCs w:val="22"/>
              </w:rPr>
              <w:t xml:space="preserve"> został wprowadzony w</w:t>
            </w:r>
            <w:r w:rsidR="00B87F3E" w:rsidRPr="0095120B">
              <w:rPr>
                <w:rFonts w:ascii="Times New Roman" w:hAnsi="Times New Roman"/>
                <w:sz w:val="22"/>
                <w:szCs w:val="22"/>
              </w:rPr>
              <w:t> </w:t>
            </w:r>
            <w:r w:rsidR="00E640F7" w:rsidRPr="0095120B">
              <w:rPr>
                <w:rFonts w:ascii="Times New Roman" w:hAnsi="Times New Roman"/>
                <w:sz w:val="22"/>
                <w:szCs w:val="22"/>
              </w:rPr>
              <w:t xml:space="preserve">2023 r. i stanowi utrudnienie dla </w:t>
            </w:r>
            <w:r w:rsidR="00540921" w:rsidRPr="0095120B">
              <w:rPr>
                <w:rFonts w:ascii="Times New Roman" w:hAnsi="Times New Roman"/>
                <w:sz w:val="22"/>
                <w:szCs w:val="22"/>
              </w:rPr>
              <w:t>efektywnego</w:t>
            </w:r>
            <w:r w:rsidR="00E640F7" w:rsidRPr="0095120B">
              <w:rPr>
                <w:rFonts w:ascii="Times New Roman" w:hAnsi="Times New Roman"/>
                <w:sz w:val="22"/>
                <w:szCs w:val="22"/>
              </w:rPr>
              <w:t xml:space="preserve"> procedowania wniosków</w:t>
            </w:r>
            <w:r w:rsidR="00856098" w:rsidRPr="0095120B">
              <w:rPr>
                <w:rFonts w:ascii="Times New Roman" w:hAnsi="Times New Roman"/>
                <w:sz w:val="22"/>
                <w:szCs w:val="22"/>
              </w:rPr>
              <w:t xml:space="preserve"> refundacyjnych</w:t>
            </w:r>
            <w:r w:rsidR="00E640F7" w:rsidRPr="0095120B">
              <w:rPr>
                <w:rFonts w:ascii="Times New Roman" w:hAnsi="Times New Roman"/>
                <w:sz w:val="22"/>
                <w:szCs w:val="22"/>
              </w:rPr>
              <w:t xml:space="preserve">, </w:t>
            </w:r>
            <w:r w:rsidR="00450B2C" w:rsidRPr="0095120B">
              <w:rPr>
                <w:rFonts w:ascii="Times New Roman" w:hAnsi="Times New Roman"/>
                <w:sz w:val="22"/>
                <w:szCs w:val="22"/>
              </w:rPr>
              <w:t xml:space="preserve">w szczególności </w:t>
            </w:r>
            <w:r w:rsidR="00E640F7" w:rsidRPr="0095120B">
              <w:rPr>
                <w:rFonts w:ascii="Times New Roman" w:hAnsi="Times New Roman"/>
                <w:sz w:val="22"/>
                <w:szCs w:val="22"/>
              </w:rPr>
              <w:t>wydłuża proces</w:t>
            </w:r>
            <w:r w:rsidR="00450B2C" w:rsidRPr="0095120B">
              <w:rPr>
                <w:rFonts w:ascii="Times New Roman" w:hAnsi="Times New Roman"/>
                <w:sz w:val="22"/>
                <w:szCs w:val="22"/>
              </w:rPr>
              <w:t xml:space="preserve"> ich rozpatrywania</w:t>
            </w:r>
            <w:r w:rsidR="00E640F7" w:rsidRPr="0095120B">
              <w:rPr>
                <w:rFonts w:ascii="Times New Roman" w:hAnsi="Times New Roman"/>
                <w:sz w:val="22"/>
                <w:szCs w:val="22"/>
              </w:rPr>
              <w:t xml:space="preserve">, </w:t>
            </w:r>
            <w:r w:rsidR="00450B2C" w:rsidRPr="0095120B">
              <w:rPr>
                <w:rFonts w:ascii="Times New Roman" w:hAnsi="Times New Roman"/>
                <w:sz w:val="22"/>
                <w:szCs w:val="22"/>
              </w:rPr>
              <w:t xml:space="preserve">a jednocześnie </w:t>
            </w:r>
            <w:r w:rsidR="00E640F7" w:rsidRPr="0095120B">
              <w:rPr>
                <w:rFonts w:ascii="Times New Roman" w:hAnsi="Times New Roman"/>
                <w:sz w:val="22"/>
                <w:szCs w:val="22"/>
              </w:rPr>
              <w:t>przynos</w:t>
            </w:r>
            <w:r w:rsidR="0022641B" w:rsidRPr="0095120B">
              <w:rPr>
                <w:rFonts w:ascii="Times New Roman" w:hAnsi="Times New Roman"/>
                <w:sz w:val="22"/>
                <w:szCs w:val="22"/>
              </w:rPr>
              <w:t>i</w:t>
            </w:r>
            <w:r w:rsidR="00E640F7" w:rsidRPr="0095120B">
              <w:rPr>
                <w:rFonts w:ascii="Times New Roman" w:hAnsi="Times New Roman"/>
                <w:sz w:val="22"/>
                <w:szCs w:val="22"/>
              </w:rPr>
              <w:t xml:space="preserve"> wartość niewspółmierną do zakładanych pierwotnie celów wprowadzania tego wymogu</w:t>
            </w:r>
            <w:r w:rsidR="00D94C75" w:rsidRPr="0095120B">
              <w:rPr>
                <w:rFonts w:ascii="Times New Roman" w:hAnsi="Times New Roman"/>
                <w:sz w:val="22"/>
                <w:szCs w:val="22"/>
              </w:rPr>
              <w:t>;</w:t>
            </w:r>
          </w:p>
          <w:p w14:paraId="049B8895" w14:textId="1157D285" w:rsidR="00E640F7" w:rsidRPr="0095120B" w:rsidRDefault="000A346E" w:rsidP="004663A3">
            <w:pPr>
              <w:pStyle w:val="A-normalny"/>
              <w:numPr>
                <w:ilvl w:val="0"/>
                <w:numId w:val="38"/>
              </w:numPr>
              <w:spacing w:line="240" w:lineRule="auto"/>
              <w:contextualSpacing/>
              <w:rPr>
                <w:rFonts w:ascii="Times New Roman" w:hAnsi="Times New Roman"/>
                <w:sz w:val="22"/>
                <w:szCs w:val="22"/>
              </w:rPr>
            </w:pPr>
            <w:r w:rsidRPr="0095120B">
              <w:rPr>
                <w:rFonts w:ascii="Times New Roman" w:hAnsi="Times New Roman"/>
                <w:sz w:val="22"/>
                <w:szCs w:val="22"/>
              </w:rPr>
              <w:t>praktyczna</w:t>
            </w:r>
            <w:r w:rsidR="00E640F7" w:rsidRPr="0095120B">
              <w:rPr>
                <w:rFonts w:ascii="Times New Roman" w:hAnsi="Times New Roman"/>
                <w:sz w:val="22"/>
                <w:szCs w:val="22"/>
              </w:rPr>
              <w:t xml:space="preserve"> realizacj</w:t>
            </w:r>
            <w:r w:rsidR="008B6525">
              <w:rPr>
                <w:rFonts w:ascii="Times New Roman" w:hAnsi="Times New Roman"/>
                <w:sz w:val="22"/>
                <w:szCs w:val="22"/>
              </w:rPr>
              <w:t>a</w:t>
            </w:r>
            <w:r w:rsidR="00E640F7" w:rsidRPr="0095120B">
              <w:rPr>
                <w:rFonts w:ascii="Times New Roman" w:hAnsi="Times New Roman"/>
                <w:sz w:val="22"/>
                <w:szCs w:val="22"/>
              </w:rPr>
              <w:t xml:space="preserve"> przepisów o równym podziale leków deficytowych do 10 największych hurtowni istniejących w </w:t>
            </w:r>
            <w:r w:rsidR="00FE0D24">
              <w:rPr>
                <w:rFonts w:ascii="Times New Roman" w:hAnsi="Times New Roman"/>
                <w:sz w:val="22"/>
                <w:szCs w:val="22"/>
              </w:rPr>
              <w:t>Rzeczypospolitej Polskiej</w:t>
            </w:r>
            <w:r w:rsidR="007F2D31">
              <w:rPr>
                <w:rFonts w:ascii="Times New Roman" w:hAnsi="Times New Roman"/>
                <w:sz w:val="22"/>
                <w:szCs w:val="22"/>
              </w:rPr>
              <w:t xml:space="preserve"> </w:t>
            </w:r>
            <w:r w:rsidR="00E640F7" w:rsidRPr="0095120B">
              <w:rPr>
                <w:rFonts w:ascii="Times New Roman" w:hAnsi="Times New Roman"/>
                <w:sz w:val="22"/>
                <w:szCs w:val="22"/>
              </w:rPr>
              <w:t xml:space="preserve">jest w praktyce </w:t>
            </w:r>
            <w:r w:rsidR="0090718F">
              <w:rPr>
                <w:rFonts w:ascii="Times New Roman" w:hAnsi="Times New Roman"/>
                <w:sz w:val="22"/>
                <w:szCs w:val="22"/>
              </w:rPr>
              <w:t>niemożliwa do zrealizowania</w:t>
            </w:r>
            <w:r w:rsidR="00E640F7" w:rsidRPr="0095120B">
              <w:rPr>
                <w:rFonts w:ascii="Times New Roman" w:hAnsi="Times New Roman"/>
                <w:sz w:val="22"/>
                <w:szCs w:val="22"/>
              </w:rPr>
              <w:t xml:space="preserve">, ponieważ </w:t>
            </w:r>
            <w:r w:rsidR="00540921" w:rsidRPr="0095120B">
              <w:rPr>
                <w:rFonts w:ascii="Times New Roman" w:hAnsi="Times New Roman"/>
                <w:sz w:val="22"/>
                <w:szCs w:val="22"/>
              </w:rPr>
              <w:t>obecnie nie ma</w:t>
            </w:r>
            <w:r w:rsidR="00B87F3E" w:rsidRPr="0095120B">
              <w:rPr>
                <w:rFonts w:ascii="Times New Roman" w:hAnsi="Times New Roman"/>
                <w:sz w:val="22"/>
                <w:szCs w:val="22"/>
              </w:rPr>
              <w:t> </w:t>
            </w:r>
            <w:r w:rsidR="00540921" w:rsidRPr="0095120B">
              <w:rPr>
                <w:rFonts w:ascii="Times New Roman" w:hAnsi="Times New Roman"/>
                <w:sz w:val="22"/>
                <w:szCs w:val="22"/>
              </w:rPr>
              <w:t>żadnej hurtowni spełniającej kryteria ustawowe</w:t>
            </w:r>
            <w:r w:rsidR="00D94C75" w:rsidRPr="0095120B">
              <w:rPr>
                <w:rFonts w:ascii="Times New Roman" w:hAnsi="Times New Roman"/>
                <w:sz w:val="22"/>
                <w:szCs w:val="22"/>
              </w:rPr>
              <w:t>;</w:t>
            </w:r>
          </w:p>
          <w:p w14:paraId="1EF958F0" w14:textId="4CA97EFD" w:rsidR="00E640F7" w:rsidRPr="0095120B" w:rsidRDefault="00D94C75" w:rsidP="004663A3">
            <w:pPr>
              <w:pStyle w:val="A-normalny"/>
              <w:numPr>
                <w:ilvl w:val="0"/>
                <w:numId w:val="38"/>
              </w:numPr>
              <w:spacing w:before="0" w:after="0" w:line="240" w:lineRule="auto"/>
              <w:contextualSpacing/>
              <w:rPr>
                <w:rFonts w:ascii="Times New Roman" w:hAnsi="Times New Roman"/>
                <w:sz w:val="22"/>
                <w:szCs w:val="22"/>
              </w:rPr>
            </w:pPr>
            <w:r w:rsidRPr="0095120B">
              <w:rPr>
                <w:rFonts w:ascii="Times New Roman" w:hAnsi="Times New Roman"/>
                <w:sz w:val="22"/>
                <w:szCs w:val="22"/>
              </w:rPr>
              <w:t>w</w:t>
            </w:r>
            <w:r w:rsidR="00E640F7" w:rsidRPr="0095120B">
              <w:rPr>
                <w:rFonts w:ascii="Times New Roman" w:hAnsi="Times New Roman"/>
                <w:sz w:val="22"/>
                <w:szCs w:val="22"/>
              </w:rPr>
              <w:t xml:space="preserve">adliwość rozwiązania polegającego na honorowaniu ważności analiz </w:t>
            </w:r>
            <w:r w:rsidR="00450B2C" w:rsidRPr="0095120B">
              <w:rPr>
                <w:rFonts w:ascii="Times New Roman" w:hAnsi="Times New Roman"/>
                <w:sz w:val="22"/>
                <w:szCs w:val="22"/>
              </w:rPr>
              <w:t xml:space="preserve">w sprawie oceny technologii medycznych (ang. </w:t>
            </w:r>
            <w:r w:rsidR="00E640F7" w:rsidRPr="0095120B">
              <w:rPr>
                <w:rFonts w:ascii="Times New Roman" w:hAnsi="Times New Roman"/>
                <w:sz w:val="22"/>
                <w:szCs w:val="22"/>
              </w:rPr>
              <w:t>HTA</w:t>
            </w:r>
            <w:r w:rsidR="00450B2C" w:rsidRPr="0095120B">
              <w:rPr>
                <w:rFonts w:ascii="Times New Roman" w:hAnsi="Times New Roman"/>
                <w:sz w:val="22"/>
                <w:szCs w:val="22"/>
              </w:rPr>
              <w:t xml:space="preserve"> – </w:t>
            </w:r>
            <w:proofErr w:type="spellStart"/>
            <w:r w:rsidR="00450B2C" w:rsidRPr="009E3809">
              <w:rPr>
                <w:rFonts w:ascii="Times New Roman" w:hAnsi="Times New Roman"/>
                <w:i/>
                <w:iCs/>
                <w:sz w:val="22"/>
                <w:szCs w:val="22"/>
              </w:rPr>
              <w:t>Health</w:t>
            </w:r>
            <w:proofErr w:type="spellEnd"/>
            <w:r w:rsidR="00450B2C" w:rsidRPr="009E3809">
              <w:rPr>
                <w:rFonts w:ascii="Times New Roman" w:hAnsi="Times New Roman"/>
                <w:i/>
                <w:iCs/>
                <w:sz w:val="22"/>
                <w:szCs w:val="22"/>
              </w:rPr>
              <w:t xml:space="preserve"> Technology </w:t>
            </w:r>
            <w:proofErr w:type="spellStart"/>
            <w:r w:rsidR="00450B2C" w:rsidRPr="009E3809">
              <w:rPr>
                <w:rFonts w:ascii="Times New Roman" w:hAnsi="Times New Roman"/>
                <w:i/>
                <w:iCs/>
                <w:sz w:val="22"/>
                <w:szCs w:val="22"/>
              </w:rPr>
              <w:t>Assessment</w:t>
            </w:r>
            <w:proofErr w:type="spellEnd"/>
            <w:r w:rsidR="00450B2C" w:rsidRPr="009E3809">
              <w:rPr>
                <w:rFonts w:ascii="Times New Roman" w:hAnsi="Times New Roman"/>
                <w:sz w:val="22"/>
                <w:szCs w:val="22"/>
              </w:rPr>
              <w:t>)</w:t>
            </w:r>
            <w:r w:rsidR="00E640F7" w:rsidRPr="009E3809">
              <w:rPr>
                <w:rFonts w:ascii="Times New Roman" w:hAnsi="Times New Roman"/>
                <w:sz w:val="22"/>
                <w:szCs w:val="22"/>
              </w:rPr>
              <w:t xml:space="preserve"> </w:t>
            </w:r>
            <w:r w:rsidR="00E640F7" w:rsidRPr="0095120B">
              <w:rPr>
                <w:rFonts w:ascii="Times New Roman" w:hAnsi="Times New Roman"/>
                <w:sz w:val="22"/>
                <w:szCs w:val="22"/>
              </w:rPr>
              <w:t>jed</w:t>
            </w:r>
            <w:r w:rsidR="003C7359" w:rsidRPr="0095120B">
              <w:rPr>
                <w:rFonts w:ascii="Times New Roman" w:hAnsi="Times New Roman"/>
                <w:sz w:val="22"/>
                <w:szCs w:val="22"/>
              </w:rPr>
              <w:t>y</w:t>
            </w:r>
            <w:r w:rsidR="00E640F7" w:rsidRPr="0095120B">
              <w:rPr>
                <w:rFonts w:ascii="Times New Roman" w:hAnsi="Times New Roman"/>
                <w:sz w:val="22"/>
                <w:szCs w:val="22"/>
              </w:rPr>
              <w:t xml:space="preserve">nie przez okres 1 roku. Z jednej bowiem strony </w:t>
            </w:r>
            <w:r w:rsidR="00D17092" w:rsidRPr="0095120B">
              <w:rPr>
                <w:rFonts w:ascii="Times New Roman" w:hAnsi="Times New Roman"/>
                <w:sz w:val="22"/>
                <w:szCs w:val="22"/>
              </w:rPr>
              <w:t>są</w:t>
            </w:r>
            <w:r w:rsidR="00E640F7" w:rsidRPr="0095120B">
              <w:rPr>
                <w:rFonts w:ascii="Times New Roman" w:hAnsi="Times New Roman"/>
                <w:sz w:val="22"/>
                <w:szCs w:val="22"/>
              </w:rPr>
              <w:t xml:space="preserve"> to analizy dość kosztowne</w:t>
            </w:r>
            <w:r w:rsidR="00540921" w:rsidRPr="0095120B">
              <w:rPr>
                <w:rFonts w:ascii="Times New Roman" w:hAnsi="Times New Roman"/>
                <w:sz w:val="22"/>
                <w:szCs w:val="22"/>
              </w:rPr>
              <w:t>, a ich przygotowanie niejednokrotnie jest procesem długotrwałym</w:t>
            </w:r>
            <w:r w:rsidR="00E640F7" w:rsidRPr="0095120B">
              <w:rPr>
                <w:rFonts w:ascii="Times New Roman" w:hAnsi="Times New Roman"/>
                <w:sz w:val="22"/>
                <w:szCs w:val="22"/>
              </w:rPr>
              <w:t>, z drugiej strony</w:t>
            </w:r>
            <w:r w:rsidR="00540921" w:rsidRPr="0095120B">
              <w:rPr>
                <w:rFonts w:ascii="Times New Roman" w:hAnsi="Times New Roman"/>
                <w:sz w:val="22"/>
                <w:szCs w:val="22"/>
              </w:rPr>
              <w:t xml:space="preserve"> przy uwzględnieniu czasu zawieszenia postępowania</w:t>
            </w:r>
            <w:r w:rsidR="000B7507" w:rsidRPr="0095120B">
              <w:rPr>
                <w:rFonts w:ascii="Times New Roman" w:hAnsi="Times New Roman"/>
                <w:sz w:val="22"/>
                <w:szCs w:val="22"/>
              </w:rPr>
              <w:t xml:space="preserve"> refundacyjnego,</w:t>
            </w:r>
            <w:r w:rsidR="00540921" w:rsidRPr="0095120B">
              <w:rPr>
                <w:rFonts w:ascii="Times New Roman" w:hAnsi="Times New Roman"/>
                <w:sz w:val="22"/>
                <w:szCs w:val="22"/>
              </w:rPr>
              <w:t xml:space="preserve"> może się zdarzyć, że upłynie przedmiotowy termin ważności, co powodowałoby, </w:t>
            </w:r>
            <w:r w:rsidR="000B7507" w:rsidRPr="0095120B">
              <w:rPr>
                <w:rFonts w:ascii="Times New Roman" w:hAnsi="Times New Roman"/>
                <w:sz w:val="22"/>
                <w:szCs w:val="22"/>
              </w:rPr>
              <w:t>ż</w:t>
            </w:r>
            <w:r w:rsidR="00540921" w:rsidRPr="0095120B">
              <w:rPr>
                <w:rFonts w:ascii="Times New Roman" w:hAnsi="Times New Roman"/>
                <w:sz w:val="22"/>
                <w:szCs w:val="22"/>
              </w:rPr>
              <w:t>e wnioskodawca musiałby jeszcze raz składać ten wniosek z tymi samymi analizami</w:t>
            </w:r>
            <w:r w:rsidR="00BF0DC5" w:rsidRPr="0095120B">
              <w:rPr>
                <w:rFonts w:ascii="Times New Roman" w:hAnsi="Times New Roman"/>
                <w:sz w:val="22"/>
                <w:szCs w:val="22"/>
              </w:rPr>
              <w:t xml:space="preserve"> pomimo braku nowych dowodów</w:t>
            </w:r>
            <w:r w:rsidR="00BF0DC5">
              <w:rPr>
                <w:rFonts w:ascii="Times New Roman" w:hAnsi="Times New Roman"/>
                <w:sz w:val="22"/>
                <w:szCs w:val="22"/>
              </w:rPr>
              <w:t xml:space="preserve"> dotyczących przedmiotu analizy</w:t>
            </w:r>
            <w:r w:rsidRPr="0095120B">
              <w:rPr>
                <w:rFonts w:ascii="Times New Roman" w:hAnsi="Times New Roman"/>
                <w:sz w:val="22"/>
                <w:szCs w:val="22"/>
              </w:rPr>
              <w:t>;</w:t>
            </w:r>
          </w:p>
          <w:p w14:paraId="6152C4CF" w14:textId="55D2AECC" w:rsidR="009A5CC4" w:rsidRPr="0095120B" w:rsidRDefault="006C5882" w:rsidP="004663A3">
            <w:pPr>
              <w:pStyle w:val="A-normalny"/>
              <w:numPr>
                <w:ilvl w:val="0"/>
                <w:numId w:val="38"/>
              </w:numPr>
              <w:spacing w:before="0" w:after="0" w:line="240" w:lineRule="auto"/>
              <w:contextualSpacing/>
              <w:rPr>
                <w:rFonts w:ascii="Times New Roman" w:hAnsi="Times New Roman"/>
                <w:sz w:val="22"/>
                <w:szCs w:val="22"/>
              </w:rPr>
            </w:pPr>
            <w:r>
              <w:rPr>
                <w:rFonts w:ascii="Times New Roman" w:hAnsi="Times New Roman"/>
                <w:sz w:val="22"/>
                <w:szCs w:val="22"/>
              </w:rPr>
              <w:t>p</w:t>
            </w:r>
            <w:r w:rsidR="00C73419" w:rsidRPr="00C73419">
              <w:rPr>
                <w:rFonts w:ascii="Times New Roman" w:hAnsi="Times New Roman"/>
                <w:sz w:val="22"/>
                <w:szCs w:val="22"/>
              </w:rPr>
              <w:t>rocedura rekomendacji warunkowych Prezesa Agencji Oceny Technologii Medycznych i Taryfikacji</w:t>
            </w:r>
            <w:r w:rsidR="00434097">
              <w:rPr>
                <w:rFonts w:ascii="Times New Roman" w:hAnsi="Times New Roman"/>
                <w:sz w:val="22"/>
                <w:szCs w:val="22"/>
              </w:rPr>
              <w:t xml:space="preserve"> </w:t>
            </w:r>
            <w:r w:rsidR="00434097" w:rsidRPr="00434097">
              <w:rPr>
                <w:rFonts w:ascii="Times New Roman" w:hAnsi="Times New Roman"/>
                <w:sz w:val="22"/>
                <w:szCs w:val="22"/>
              </w:rPr>
              <w:t>(AOTMiT)</w:t>
            </w:r>
            <w:r w:rsidR="00C73419" w:rsidRPr="00C73419">
              <w:rPr>
                <w:rFonts w:ascii="Times New Roman" w:hAnsi="Times New Roman"/>
                <w:sz w:val="22"/>
                <w:szCs w:val="22"/>
              </w:rPr>
              <w:t xml:space="preserve"> oraz wymóg umarzania postępowań refundacyjnych w związku z brakiem należytego uzupełnienia wniosku na wezwanie Prezesa </w:t>
            </w:r>
            <w:r w:rsidR="00434097">
              <w:rPr>
                <w:rFonts w:ascii="Times New Roman" w:hAnsi="Times New Roman"/>
                <w:sz w:val="22"/>
                <w:szCs w:val="22"/>
              </w:rPr>
              <w:t>AOTMiT</w:t>
            </w:r>
            <w:r w:rsidR="00C73419" w:rsidRPr="00C73419">
              <w:rPr>
                <w:rFonts w:ascii="Times New Roman" w:hAnsi="Times New Roman"/>
                <w:sz w:val="22"/>
                <w:szCs w:val="22"/>
              </w:rPr>
              <w:t xml:space="preserve"> do uzupełnienia przedłożonych analiz uniemożliwia sprawne prowadzenie postępowań administracyjnych w sytuacji oczekiwania przez pacjentów na daną terapię</w:t>
            </w:r>
            <w:r w:rsidR="00D94C75" w:rsidRPr="0095120B">
              <w:rPr>
                <w:rFonts w:ascii="Times New Roman" w:hAnsi="Times New Roman"/>
                <w:sz w:val="22"/>
                <w:szCs w:val="22"/>
              </w:rPr>
              <w:t>;</w:t>
            </w:r>
          </w:p>
          <w:p w14:paraId="13636EA3" w14:textId="0B3D54D8" w:rsidR="003536EF" w:rsidRPr="0095120B" w:rsidRDefault="00D94C75" w:rsidP="004663A3">
            <w:pPr>
              <w:pStyle w:val="A-normalny"/>
              <w:numPr>
                <w:ilvl w:val="0"/>
                <w:numId w:val="38"/>
              </w:numPr>
              <w:spacing w:before="0" w:after="0" w:line="240" w:lineRule="auto"/>
              <w:contextualSpacing/>
              <w:rPr>
                <w:rFonts w:ascii="Times New Roman" w:hAnsi="Times New Roman"/>
                <w:sz w:val="22"/>
                <w:szCs w:val="22"/>
              </w:rPr>
            </w:pPr>
            <w:r w:rsidRPr="0095120B">
              <w:rPr>
                <w:rFonts w:ascii="Times New Roman" w:hAnsi="Times New Roman"/>
                <w:sz w:val="22"/>
                <w:szCs w:val="22"/>
              </w:rPr>
              <w:t>n</w:t>
            </w:r>
            <w:r w:rsidR="00B13FD0" w:rsidRPr="0095120B">
              <w:rPr>
                <w:rFonts w:ascii="Times New Roman" w:hAnsi="Times New Roman"/>
                <w:sz w:val="22"/>
                <w:szCs w:val="22"/>
              </w:rPr>
              <w:t xml:space="preserve">iekompatybilność </w:t>
            </w:r>
            <w:r w:rsidR="003536EF" w:rsidRPr="0095120B">
              <w:rPr>
                <w:rFonts w:ascii="Times New Roman" w:hAnsi="Times New Roman"/>
                <w:sz w:val="22"/>
                <w:szCs w:val="22"/>
              </w:rPr>
              <w:t xml:space="preserve">przepisów ustawy </w:t>
            </w:r>
            <w:r w:rsidR="002F1F41" w:rsidRPr="0095120B">
              <w:rPr>
                <w:rFonts w:ascii="Times New Roman" w:hAnsi="Times New Roman"/>
                <w:sz w:val="22"/>
                <w:szCs w:val="22"/>
              </w:rPr>
              <w:t>z dnia</w:t>
            </w:r>
            <w:r w:rsidR="00F40D46" w:rsidRPr="0095120B">
              <w:rPr>
                <w:rFonts w:ascii="Times New Roman" w:hAnsi="Times New Roman"/>
                <w:sz w:val="22"/>
                <w:szCs w:val="22"/>
              </w:rPr>
              <w:t xml:space="preserve"> 6 września 2001 r. </w:t>
            </w:r>
            <w:r w:rsidR="005A6184" w:rsidRPr="0095120B">
              <w:rPr>
                <w:rFonts w:ascii="Times New Roman" w:hAnsi="Times New Roman"/>
                <w:sz w:val="22"/>
                <w:szCs w:val="22"/>
              </w:rPr>
              <w:t>–</w:t>
            </w:r>
            <w:r w:rsidR="002F1F41" w:rsidRPr="0095120B">
              <w:rPr>
                <w:rFonts w:ascii="Times New Roman" w:hAnsi="Times New Roman"/>
                <w:sz w:val="22"/>
                <w:szCs w:val="22"/>
              </w:rPr>
              <w:t xml:space="preserve"> P</w:t>
            </w:r>
            <w:r w:rsidR="003536EF" w:rsidRPr="0095120B">
              <w:rPr>
                <w:rFonts w:ascii="Times New Roman" w:hAnsi="Times New Roman"/>
                <w:sz w:val="22"/>
                <w:szCs w:val="22"/>
              </w:rPr>
              <w:t>raw</w:t>
            </w:r>
            <w:r w:rsidR="002F1F41" w:rsidRPr="0095120B">
              <w:rPr>
                <w:rFonts w:ascii="Times New Roman" w:hAnsi="Times New Roman"/>
                <w:sz w:val="22"/>
                <w:szCs w:val="22"/>
              </w:rPr>
              <w:t>o</w:t>
            </w:r>
            <w:r w:rsidR="003536EF" w:rsidRPr="0095120B">
              <w:rPr>
                <w:rFonts w:ascii="Times New Roman" w:hAnsi="Times New Roman"/>
                <w:sz w:val="22"/>
                <w:szCs w:val="22"/>
              </w:rPr>
              <w:t xml:space="preserve"> farmaceutyczne </w:t>
            </w:r>
            <w:r w:rsidR="006D3BB1" w:rsidRPr="0095120B">
              <w:rPr>
                <w:rFonts w:ascii="Times New Roman" w:hAnsi="Times New Roman"/>
                <w:sz w:val="22"/>
                <w:szCs w:val="22"/>
              </w:rPr>
              <w:t xml:space="preserve">(Dz. U. </w:t>
            </w:r>
            <w:r w:rsidR="00122371" w:rsidRPr="0095120B">
              <w:rPr>
                <w:rFonts w:ascii="Times New Roman" w:hAnsi="Times New Roman"/>
                <w:sz w:val="22"/>
                <w:szCs w:val="22"/>
              </w:rPr>
              <w:t>z 2024 r. poz. 686</w:t>
            </w:r>
            <w:r w:rsidR="00C91B9A">
              <w:rPr>
                <w:rFonts w:ascii="Times New Roman" w:hAnsi="Times New Roman"/>
                <w:sz w:val="22"/>
                <w:szCs w:val="22"/>
              </w:rPr>
              <w:t>, z późn. zm.</w:t>
            </w:r>
            <w:r w:rsidR="00122371" w:rsidRPr="0095120B">
              <w:rPr>
                <w:rFonts w:ascii="Times New Roman" w:hAnsi="Times New Roman"/>
                <w:sz w:val="22"/>
                <w:szCs w:val="22"/>
              </w:rPr>
              <w:t xml:space="preserve">) </w:t>
            </w:r>
            <w:r w:rsidR="003536EF" w:rsidRPr="0095120B">
              <w:rPr>
                <w:rFonts w:ascii="Times New Roman" w:hAnsi="Times New Roman"/>
                <w:sz w:val="22"/>
                <w:szCs w:val="22"/>
              </w:rPr>
              <w:t>dotyczących definicji przedstawiciela podmiotu odpowiedzialnego</w:t>
            </w:r>
            <w:r w:rsidR="00D02175">
              <w:rPr>
                <w:rFonts w:ascii="Times New Roman" w:hAnsi="Times New Roman"/>
                <w:sz w:val="22"/>
                <w:szCs w:val="22"/>
              </w:rPr>
              <w:t>,</w:t>
            </w:r>
            <w:r w:rsidR="003536EF" w:rsidRPr="0095120B">
              <w:rPr>
                <w:rFonts w:ascii="Times New Roman" w:hAnsi="Times New Roman"/>
                <w:sz w:val="22"/>
                <w:szCs w:val="22"/>
              </w:rPr>
              <w:t xml:space="preserve"> z prawem U</w:t>
            </w:r>
            <w:r w:rsidR="002226A0">
              <w:rPr>
                <w:rFonts w:ascii="Times New Roman" w:hAnsi="Times New Roman"/>
                <w:sz w:val="22"/>
                <w:szCs w:val="22"/>
              </w:rPr>
              <w:t xml:space="preserve">nii </w:t>
            </w:r>
            <w:r w:rsidR="003536EF" w:rsidRPr="0095120B">
              <w:rPr>
                <w:rFonts w:ascii="Times New Roman" w:hAnsi="Times New Roman"/>
                <w:sz w:val="22"/>
                <w:szCs w:val="22"/>
              </w:rPr>
              <w:t>E</w:t>
            </w:r>
            <w:r w:rsidR="002226A0">
              <w:rPr>
                <w:rFonts w:ascii="Times New Roman" w:hAnsi="Times New Roman"/>
                <w:sz w:val="22"/>
                <w:szCs w:val="22"/>
              </w:rPr>
              <w:t>uropejskiej</w:t>
            </w:r>
            <w:r w:rsidR="00D02175">
              <w:rPr>
                <w:rFonts w:ascii="Times New Roman" w:hAnsi="Times New Roman"/>
                <w:sz w:val="22"/>
                <w:szCs w:val="22"/>
              </w:rPr>
              <w:t>, polegająca na wymogu prawa rodzimego w zakresie</w:t>
            </w:r>
            <w:r w:rsidR="002226A0">
              <w:rPr>
                <w:rFonts w:ascii="Times New Roman" w:hAnsi="Times New Roman"/>
                <w:sz w:val="22"/>
                <w:szCs w:val="22"/>
              </w:rPr>
              <w:t>,</w:t>
            </w:r>
            <w:r w:rsidR="00D02175">
              <w:rPr>
                <w:rFonts w:ascii="Times New Roman" w:hAnsi="Times New Roman"/>
                <w:sz w:val="22"/>
                <w:szCs w:val="22"/>
              </w:rPr>
              <w:t xml:space="preserve"> </w:t>
            </w:r>
            <w:r w:rsidR="004C3C2C">
              <w:rPr>
                <w:rFonts w:ascii="Times New Roman" w:hAnsi="Times New Roman"/>
                <w:sz w:val="22"/>
                <w:szCs w:val="22"/>
              </w:rPr>
              <w:t xml:space="preserve">aby przedstawiciel </w:t>
            </w:r>
            <w:r w:rsidR="00D02175">
              <w:rPr>
                <w:rFonts w:ascii="Times New Roman" w:hAnsi="Times New Roman"/>
                <w:sz w:val="22"/>
                <w:szCs w:val="22"/>
              </w:rPr>
              <w:t xml:space="preserve">ten </w:t>
            </w:r>
            <w:r w:rsidR="004C3C2C">
              <w:rPr>
                <w:rFonts w:ascii="Times New Roman" w:hAnsi="Times New Roman"/>
                <w:sz w:val="22"/>
                <w:szCs w:val="22"/>
              </w:rPr>
              <w:t xml:space="preserve">miał siedzibę na terytorium </w:t>
            </w:r>
            <w:r w:rsidR="004C3C2C" w:rsidRPr="004C3C2C">
              <w:rPr>
                <w:rFonts w:ascii="Times New Roman" w:hAnsi="Times New Roman"/>
                <w:sz w:val="22"/>
                <w:szCs w:val="22"/>
              </w:rPr>
              <w:t>Rzeczypospolitej Polskiej</w:t>
            </w:r>
            <w:r w:rsidRPr="0095120B">
              <w:rPr>
                <w:rFonts w:ascii="Times New Roman" w:hAnsi="Times New Roman"/>
                <w:sz w:val="22"/>
                <w:szCs w:val="22"/>
              </w:rPr>
              <w:t>;</w:t>
            </w:r>
          </w:p>
          <w:p w14:paraId="341B36A7" w14:textId="54814162" w:rsidR="00E640F7" w:rsidRPr="0095120B" w:rsidRDefault="003536EF" w:rsidP="004663A3">
            <w:pPr>
              <w:pStyle w:val="A-normalny"/>
              <w:numPr>
                <w:ilvl w:val="0"/>
                <w:numId w:val="38"/>
              </w:numPr>
              <w:spacing w:before="0" w:after="0" w:line="240" w:lineRule="auto"/>
              <w:contextualSpacing/>
              <w:rPr>
                <w:rFonts w:ascii="Times New Roman" w:hAnsi="Times New Roman"/>
                <w:sz w:val="22"/>
                <w:szCs w:val="22"/>
              </w:rPr>
            </w:pPr>
            <w:r w:rsidRPr="0095120B">
              <w:rPr>
                <w:rFonts w:ascii="Times New Roman" w:hAnsi="Times New Roman"/>
                <w:sz w:val="22"/>
                <w:szCs w:val="22"/>
              </w:rPr>
              <w:t>koniecznoś</w:t>
            </w:r>
            <w:r w:rsidR="00772265" w:rsidRPr="0095120B">
              <w:rPr>
                <w:rFonts w:ascii="Times New Roman" w:hAnsi="Times New Roman"/>
                <w:sz w:val="22"/>
                <w:szCs w:val="22"/>
              </w:rPr>
              <w:t>ć</w:t>
            </w:r>
            <w:r w:rsidRPr="0095120B">
              <w:rPr>
                <w:rFonts w:ascii="Times New Roman" w:hAnsi="Times New Roman"/>
                <w:sz w:val="22"/>
                <w:szCs w:val="22"/>
              </w:rPr>
              <w:t xml:space="preserve"> publikowania protokołów negocjacyjnych </w:t>
            </w:r>
            <w:r w:rsidR="009E3809">
              <w:rPr>
                <w:rFonts w:ascii="Times New Roman" w:hAnsi="Times New Roman"/>
                <w:sz w:val="22"/>
                <w:szCs w:val="22"/>
              </w:rPr>
              <w:t>po wszystkich</w:t>
            </w:r>
            <w:r w:rsidRPr="0095120B">
              <w:rPr>
                <w:rFonts w:ascii="Times New Roman" w:hAnsi="Times New Roman"/>
                <w:sz w:val="22"/>
                <w:szCs w:val="22"/>
              </w:rPr>
              <w:t xml:space="preserve"> negatywn</w:t>
            </w:r>
            <w:r w:rsidR="009E3809">
              <w:rPr>
                <w:rFonts w:ascii="Times New Roman" w:hAnsi="Times New Roman"/>
                <w:sz w:val="22"/>
                <w:szCs w:val="22"/>
              </w:rPr>
              <w:t>ych</w:t>
            </w:r>
            <w:r w:rsidRPr="0095120B">
              <w:rPr>
                <w:rFonts w:ascii="Times New Roman" w:hAnsi="Times New Roman"/>
                <w:sz w:val="22"/>
                <w:szCs w:val="22"/>
              </w:rPr>
              <w:t xml:space="preserve"> uchwa</w:t>
            </w:r>
            <w:r w:rsidR="009E3809">
              <w:rPr>
                <w:rFonts w:ascii="Times New Roman" w:hAnsi="Times New Roman"/>
                <w:sz w:val="22"/>
                <w:szCs w:val="22"/>
              </w:rPr>
              <w:t>łach</w:t>
            </w:r>
            <w:r w:rsidRPr="0095120B">
              <w:rPr>
                <w:rFonts w:ascii="Times New Roman" w:hAnsi="Times New Roman"/>
                <w:sz w:val="22"/>
                <w:szCs w:val="22"/>
              </w:rPr>
              <w:t xml:space="preserve"> Komisji Ekonomicznej</w:t>
            </w:r>
            <w:r w:rsidR="009E3809">
              <w:rPr>
                <w:rFonts w:ascii="Times New Roman" w:hAnsi="Times New Roman"/>
                <w:sz w:val="22"/>
                <w:szCs w:val="22"/>
              </w:rPr>
              <w:t xml:space="preserve">, </w:t>
            </w:r>
            <w:r w:rsidR="002226A0">
              <w:rPr>
                <w:rFonts w:ascii="Times New Roman" w:hAnsi="Times New Roman"/>
                <w:sz w:val="22"/>
                <w:szCs w:val="22"/>
              </w:rPr>
              <w:t xml:space="preserve">w tym </w:t>
            </w:r>
            <w:r w:rsidR="009E3809">
              <w:rPr>
                <w:rFonts w:ascii="Times New Roman" w:hAnsi="Times New Roman"/>
                <w:sz w:val="22"/>
                <w:szCs w:val="22"/>
              </w:rPr>
              <w:t>wniosków złożonych jako kontynuacja wcześniejszej decyzji administracyjnej</w:t>
            </w:r>
            <w:r w:rsidR="0022641B" w:rsidRPr="0095120B">
              <w:rPr>
                <w:rFonts w:ascii="Times New Roman" w:hAnsi="Times New Roman"/>
                <w:sz w:val="22"/>
                <w:szCs w:val="22"/>
              </w:rPr>
              <w:t>,</w:t>
            </w:r>
            <w:r w:rsidRPr="0095120B">
              <w:rPr>
                <w:rFonts w:ascii="Times New Roman" w:hAnsi="Times New Roman"/>
                <w:sz w:val="22"/>
                <w:szCs w:val="22"/>
              </w:rPr>
              <w:t xml:space="preserve"> co stanowi nadmierne obciążenie i spowalnia postępowania </w:t>
            </w:r>
            <w:r w:rsidR="00D72B44" w:rsidRPr="0095120B">
              <w:rPr>
                <w:rFonts w:ascii="Times New Roman" w:hAnsi="Times New Roman"/>
                <w:sz w:val="22"/>
                <w:szCs w:val="22"/>
              </w:rPr>
              <w:t>refundacyjne</w:t>
            </w:r>
            <w:r w:rsidR="00D94C75" w:rsidRPr="0095120B">
              <w:rPr>
                <w:rFonts w:ascii="Times New Roman" w:hAnsi="Times New Roman"/>
                <w:sz w:val="22"/>
                <w:szCs w:val="22"/>
              </w:rPr>
              <w:t>;</w:t>
            </w:r>
          </w:p>
          <w:p w14:paraId="10BDEF78" w14:textId="08671B3D" w:rsidR="00D72B44" w:rsidRPr="0095120B" w:rsidRDefault="00D94C75" w:rsidP="004663A3">
            <w:pPr>
              <w:pStyle w:val="Akapitzlist"/>
              <w:numPr>
                <w:ilvl w:val="0"/>
                <w:numId w:val="38"/>
              </w:numPr>
              <w:jc w:val="both"/>
              <w:rPr>
                <w:rFonts w:ascii="Times New Roman" w:hAnsi="Times New Roman"/>
              </w:rPr>
            </w:pPr>
            <w:r w:rsidRPr="0095120B">
              <w:rPr>
                <w:rFonts w:ascii="Times New Roman" w:hAnsi="Times New Roman"/>
              </w:rPr>
              <w:t>n</w:t>
            </w:r>
            <w:r w:rsidR="00D72B44" w:rsidRPr="0095120B">
              <w:rPr>
                <w:rFonts w:ascii="Times New Roman" w:hAnsi="Times New Roman"/>
              </w:rPr>
              <w:t>iejasn</w:t>
            </w:r>
            <w:r w:rsidR="000A346E" w:rsidRPr="0095120B">
              <w:rPr>
                <w:rFonts w:ascii="Times New Roman" w:hAnsi="Times New Roman"/>
              </w:rPr>
              <w:t>ość</w:t>
            </w:r>
            <w:r w:rsidR="00570B1D" w:rsidRPr="0095120B">
              <w:rPr>
                <w:rFonts w:ascii="Times New Roman" w:hAnsi="Times New Roman"/>
              </w:rPr>
              <w:t xml:space="preserve"> przepis</w:t>
            </w:r>
            <w:r w:rsidR="000A346E" w:rsidRPr="0095120B">
              <w:rPr>
                <w:rFonts w:ascii="Times New Roman" w:hAnsi="Times New Roman"/>
              </w:rPr>
              <w:t>ów</w:t>
            </w:r>
            <w:r w:rsidR="00D72B44" w:rsidRPr="0095120B">
              <w:rPr>
                <w:rFonts w:ascii="Times New Roman" w:hAnsi="Times New Roman"/>
              </w:rPr>
              <w:t xml:space="preserve"> dotycząc</w:t>
            </w:r>
            <w:r w:rsidR="000A346E" w:rsidRPr="0095120B">
              <w:rPr>
                <w:rFonts w:ascii="Times New Roman" w:hAnsi="Times New Roman"/>
              </w:rPr>
              <w:t>ych</w:t>
            </w:r>
            <w:r w:rsidR="00D72B44" w:rsidRPr="0095120B">
              <w:rPr>
                <w:rFonts w:ascii="Times New Roman" w:hAnsi="Times New Roman"/>
              </w:rPr>
              <w:t xml:space="preserve"> konieczności obniżenia ceny zbytu netto </w:t>
            </w:r>
            <w:r w:rsidR="000B7507" w:rsidRPr="0095120B">
              <w:rPr>
                <w:rFonts w:ascii="Times New Roman" w:hAnsi="Times New Roman"/>
              </w:rPr>
              <w:t xml:space="preserve">leku, środka spożywczego specjalnego przeznaczenia żywieniowego, wyrobu medycznego, </w:t>
            </w:r>
            <w:r w:rsidR="00D72B44" w:rsidRPr="0095120B">
              <w:rPr>
                <w:rFonts w:ascii="Times New Roman" w:hAnsi="Times New Roman"/>
              </w:rPr>
              <w:t xml:space="preserve">w przypadku „ochrony wynikającej z patentu”, </w:t>
            </w:r>
            <w:r w:rsidR="00D72B44" w:rsidRPr="0095120B">
              <w:rPr>
                <w:rFonts w:ascii="Times New Roman" w:hAnsi="Times New Roman"/>
              </w:rPr>
              <w:lastRenderedPageBreak/>
              <w:t>ponieważ „gąszcze patentowe” uniemożliwiają jednoznaczne określenie momentu, po którym należy spełnić taki obowiązek</w:t>
            </w:r>
            <w:r w:rsidRPr="0095120B">
              <w:rPr>
                <w:rFonts w:ascii="Times New Roman" w:hAnsi="Times New Roman"/>
              </w:rPr>
              <w:t>;</w:t>
            </w:r>
          </w:p>
          <w:p w14:paraId="3B5F697A" w14:textId="0B9CBA41" w:rsidR="00D72B44" w:rsidRPr="0095120B" w:rsidRDefault="000A346E" w:rsidP="004663A3">
            <w:pPr>
              <w:pStyle w:val="Akapitzlist"/>
              <w:numPr>
                <w:ilvl w:val="0"/>
                <w:numId w:val="38"/>
              </w:numPr>
              <w:jc w:val="both"/>
              <w:rPr>
                <w:rFonts w:ascii="Times New Roman" w:hAnsi="Times New Roman"/>
              </w:rPr>
            </w:pPr>
            <w:r w:rsidRPr="0095120B">
              <w:rPr>
                <w:rFonts w:ascii="Times New Roman" w:hAnsi="Times New Roman"/>
              </w:rPr>
              <w:t xml:space="preserve">zbyt </w:t>
            </w:r>
            <w:r w:rsidR="00D72B44" w:rsidRPr="0095120B">
              <w:rPr>
                <w:rFonts w:ascii="Times New Roman" w:hAnsi="Times New Roman"/>
              </w:rPr>
              <w:t>niski limit finansowania surowców farmaceutycznych</w:t>
            </w:r>
            <w:r w:rsidR="007E3030" w:rsidRPr="0095120B">
              <w:rPr>
                <w:rFonts w:ascii="Times New Roman" w:hAnsi="Times New Roman"/>
              </w:rPr>
              <w:t xml:space="preserve"> na poziomie 15 </w:t>
            </w:r>
            <w:proofErr w:type="spellStart"/>
            <w:r w:rsidR="007E3030" w:rsidRPr="0095120B">
              <w:rPr>
                <w:rFonts w:ascii="Times New Roman" w:hAnsi="Times New Roman"/>
              </w:rPr>
              <w:t>percentyla</w:t>
            </w:r>
            <w:proofErr w:type="spellEnd"/>
            <w:r w:rsidR="007E3030" w:rsidRPr="0095120B">
              <w:rPr>
                <w:rFonts w:ascii="Times New Roman" w:hAnsi="Times New Roman"/>
              </w:rPr>
              <w:t xml:space="preserve"> rozkładu cen danego surowca farmaceutycznego w roku poprzedzającym</w:t>
            </w:r>
            <w:r w:rsidR="00BF0DC5">
              <w:rPr>
                <w:rFonts w:ascii="Times New Roman" w:hAnsi="Times New Roman"/>
              </w:rPr>
              <w:t>,</w:t>
            </w:r>
            <w:r w:rsidR="007E3030" w:rsidRPr="0095120B">
              <w:rPr>
                <w:rFonts w:ascii="Times New Roman" w:hAnsi="Times New Roman"/>
              </w:rPr>
              <w:t xml:space="preserve"> w sytuacji, w której limit finansowania leków, środków spożywczych specjalnego przeznaczenia żywieniowego oraz wyrobów medycznych w refundacji</w:t>
            </w:r>
            <w:r w:rsidR="00BF0DC5">
              <w:rPr>
                <w:rFonts w:ascii="Times New Roman" w:hAnsi="Times New Roman"/>
              </w:rPr>
              <w:t>,</w:t>
            </w:r>
            <w:r w:rsidR="007E3030" w:rsidRPr="0095120B">
              <w:rPr>
                <w:rFonts w:ascii="Times New Roman" w:hAnsi="Times New Roman"/>
              </w:rPr>
              <w:t xml:space="preserve"> </w:t>
            </w:r>
            <w:r w:rsidR="00C91B9A" w:rsidRPr="0095120B">
              <w:rPr>
                <w:rFonts w:ascii="Times New Roman" w:hAnsi="Times New Roman"/>
              </w:rPr>
              <w:t xml:space="preserve">jest </w:t>
            </w:r>
            <w:r w:rsidR="007E3030" w:rsidRPr="0095120B">
              <w:rPr>
                <w:rFonts w:ascii="Times New Roman" w:hAnsi="Times New Roman"/>
              </w:rPr>
              <w:t>ustawion</w:t>
            </w:r>
            <w:r w:rsidR="0090718F">
              <w:rPr>
                <w:rFonts w:ascii="Times New Roman" w:hAnsi="Times New Roman"/>
              </w:rPr>
              <w:t>y</w:t>
            </w:r>
            <w:r w:rsidR="007E3030" w:rsidRPr="0095120B">
              <w:rPr>
                <w:rFonts w:ascii="Times New Roman" w:hAnsi="Times New Roman"/>
              </w:rPr>
              <w:t xml:space="preserve"> na produkcie, który dopełnia 25% obrotu ilościowego</w:t>
            </w:r>
            <w:r w:rsidR="00F10EAB">
              <w:rPr>
                <w:rFonts w:ascii="Times New Roman" w:hAnsi="Times New Roman"/>
              </w:rPr>
              <w:t>,</w:t>
            </w:r>
            <w:r w:rsidR="00F10EAB">
              <w:rPr>
                <w:rFonts w:ascii="Times New Roman" w:hAnsi="Times New Roman"/>
                <w:bCs/>
                <w:color w:val="000000"/>
                <w:spacing w:val="-2"/>
              </w:rPr>
              <w:t xml:space="preserve"> co jest przejawem nierównego traktowania produktów</w:t>
            </w:r>
            <w:r w:rsidR="00D94C75" w:rsidRPr="0095120B">
              <w:rPr>
                <w:rFonts w:ascii="Times New Roman" w:hAnsi="Times New Roman"/>
              </w:rPr>
              <w:t>;</w:t>
            </w:r>
          </w:p>
          <w:p w14:paraId="171DFF9F" w14:textId="72833F73" w:rsidR="00AB274C" w:rsidRPr="0095120B" w:rsidRDefault="0060148B" w:rsidP="004663A3">
            <w:pPr>
              <w:pStyle w:val="Akapitzlist"/>
              <w:numPr>
                <w:ilvl w:val="0"/>
                <w:numId w:val="38"/>
              </w:numPr>
              <w:jc w:val="both"/>
              <w:rPr>
                <w:rFonts w:ascii="Times New Roman" w:hAnsi="Times New Roman"/>
              </w:rPr>
            </w:pPr>
            <w:r w:rsidRPr="0095120B">
              <w:rPr>
                <w:rFonts w:ascii="Times New Roman" w:hAnsi="Times New Roman"/>
              </w:rPr>
              <w:t xml:space="preserve">niewystarczające </w:t>
            </w:r>
            <w:r w:rsidR="00AB274C" w:rsidRPr="0095120B">
              <w:rPr>
                <w:rFonts w:ascii="Times New Roman" w:hAnsi="Times New Roman"/>
              </w:rPr>
              <w:t>uregulowani</w:t>
            </w:r>
            <w:r w:rsidR="000A346E" w:rsidRPr="0095120B">
              <w:rPr>
                <w:rFonts w:ascii="Times New Roman" w:hAnsi="Times New Roman"/>
              </w:rPr>
              <w:t>e</w:t>
            </w:r>
            <w:r w:rsidR="00AB274C" w:rsidRPr="0095120B">
              <w:rPr>
                <w:rFonts w:ascii="Times New Roman" w:hAnsi="Times New Roman"/>
              </w:rPr>
              <w:t xml:space="preserve"> refundacji surowców farmaceutycznych</w:t>
            </w:r>
            <w:r w:rsidR="00BF0DC5">
              <w:rPr>
                <w:rFonts w:ascii="Times New Roman" w:hAnsi="Times New Roman"/>
              </w:rPr>
              <w:t>,</w:t>
            </w:r>
            <w:r w:rsidR="00AB274C" w:rsidRPr="0095120B">
              <w:rPr>
                <w:rFonts w:ascii="Times New Roman" w:hAnsi="Times New Roman"/>
              </w:rPr>
              <w:t xml:space="preserve"> w tym refundowan</w:t>
            </w:r>
            <w:r w:rsidR="000A346E" w:rsidRPr="0095120B">
              <w:rPr>
                <w:rFonts w:ascii="Times New Roman" w:hAnsi="Times New Roman"/>
              </w:rPr>
              <w:t>ych</w:t>
            </w:r>
            <w:r w:rsidR="00AB274C" w:rsidRPr="0095120B">
              <w:rPr>
                <w:rFonts w:ascii="Times New Roman" w:hAnsi="Times New Roman"/>
              </w:rPr>
              <w:t xml:space="preserve"> leków gotowych </w:t>
            </w:r>
            <w:r w:rsidR="000A346E" w:rsidRPr="0095120B">
              <w:rPr>
                <w:rFonts w:ascii="Times New Roman" w:hAnsi="Times New Roman"/>
              </w:rPr>
              <w:t>traktowanych jako</w:t>
            </w:r>
            <w:r w:rsidR="00AB274C" w:rsidRPr="0095120B">
              <w:rPr>
                <w:rFonts w:ascii="Times New Roman" w:hAnsi="Times New Roman"/>
              </w:rPr>
              <w:t xml:space="preserve"> składnik</w:t>
            </w:r>
            <w:r w:rsidR="000A346E" w:rsidRPr="0095120B">
              <w:rPr>
                <w:rFonts w:ascii="Times New Roman" w:hAnsi="Times New Roman"/>
              </w:rPr>
              <w:t>i</w:t>
            </w:r>
            <w:r w:rsidR="00AB274C" w:rsidRPr="0095120B">
              <w:rPr>
                <w:rFonts w:ascii="Times New Roman" w:hAnsi="Times New Roman"/>
              </w:rPr>
              <w:t xml:space="preserve"> lek</w:t>
            </w:r>
            <w:r w:rsidR="000A346E" w:rsidRPr="0095120B">
              <w:rPr>
                <w:rFonts w:ascii="Times New Roman" w:hAnsi="Times New Roman"/>
              </w:rPr>
              <w:t>ów</w:t>
            </w:r>
            <w:r w:rsidR="00AB274C" w:rsidRPr="0095120B">
              <w:rPr>
                <w:rFonts w:ascii="Times New Roman" w:hAnsi="Times New Roman"/>
              </w:rPr>
              <w:t xml:space="preserve"> recepturow</w:t>
            </w:r>
            <w:r w:rsidR="000A346E" w:rsidRPr="0095120B">
              <w:rPr>
                <w:rFonts w:ascii="Times New Roman" w:hAnsi="Times New Roman"/>
              </w:rPr>
              <w:t>ych</w:t>
            </w:r>
            <w:r w:rsidR="00AB274C" w:rsidRPr="0095120B">
              <w:rPr>
                <w:rFonts w:ascii="Times New Roman" w:hAnsi="Times New Roman"/>
              </w:rPr>
              <w:t xml:space="preserve">, </w:t>
            </w:r>
            <w:r w:rsidR="000A346E" w:rsidRPr="0095120B">
              <w:rPr>
                <w:rFonts w:ascii="Times New Roman" w:hAnsi="Times New Roman"/>
              </w:rPr>
              <w:t>w tym związan</w:t>
            </w:r>
            <w:r w:rsidR="00ED16ED">
              <w:rPr>
                <w:rFonts w:ascii="Times New Roman" w:hAnsi="Times New Roman"/>
              </w:rPr>
              <w:t>e</w:t>
            </w:r>
            <w:r w:rsidR="000A346E" w:rsidRPr="0095120B">
              <w:rPr>
                <w:rFonts w:ascii="Times New Roman" w:hAnsi="Times New Roman"/>
              </w:rPr>
              <w:t xml:space="preserve"> z dotychczasowym brakiem</w:t>
            </w:r>
            <w:r w:rsidR="00AB274C" w:rsidRPr="0095120B">
              <w:rPr>
                <w:rFonts w:ascii="Times New Roman" w:hAnsi="Times New Roman"/>
              </w:rPr>
              <w:t xml:space="preserve"> katalogu utensyliów służących przygotowaniu leków recepturowych i</w:t>
            </w:r>
            <w:r w:rsidR="00BF0DC5">
              <w:rPr>
                <w:rFonts w:ascii="Times New Roman" w:hAnsi="Times New Roman"/>
              </w:rPr>
              <w:t xml:space="preserve"> brakiem</w:t>
            </w:r>
            <w:r w:rsidR="00AB274C" w:rsidRPr="0095120B">
              <w:rPr>
                <w:rFonts w:ascii="Times New Roman" w:hAnsi="Times New Roman"/>
              </w:rPr>
              <w:t xml:space="preserve"> określenia limitu</w:t>
            </w:r>
            <w:r w:rsidR="000A346E" w:rsidRPr="0095120B">
              <w:rPr>
                <w:rFonts w:ascii="Times New Roman" w:hAnsi="Times New Roman"/>
              </w:rPr>
              <w:t xml:space="preserve"> ich</w:t>
            </w:r>
            <w:r w:rsidR="00AB274C" w:rsidRPr="0095120B">
              <w:rPr>
                <w:rFonts w:ascii="Times New Roman" w:hAnsi="Times New Roman"/>
              </w:rPr>
              <w:t xml:space="preserve"> finansowania</w:t>
            </w:r>
            <w:r w:rsidR="00C15565" w:rsidRPr="0095120B">
              <w:rPr>
                <w:rFonts w:ascii="Times New Roman" w:hAnsi="Times New Roman"/>
              </w:rPr>
              <w:t xml:space="preserve"> (przykładowo strzykawek i igieł jednorazowego użytku, dozowników, pipet, pompek dozujących, miarek, zakraplaczy, a także różnego rodzaju opakowań bezpośrednich, etykiet, czy nalepek na opakowania)</w:t>
            </w:r>
            <w:r w:rsidR="00D82A72">
              <w:rPr>
                <w:rFonts w:ascii="Times New Roman" w:hAnsi="Times New Roman"/>
              </w:rPr>
              <w:t xml:space="preserve">, co w niektórych przypadkach powoduje przypadki skrajnego zawyżania ich faktycznej wartości, a w konsekwencji przyczynia się do </w:t>
            </w:r>
            <w:r w:rsidR="005B7B57">
              <w:rPr>
                <w:rFonts w:ascii="Times New Roman" w:hAnsi="Times New Roman"/>
              </w:rPr>
              <w:t xml:space="preserve">negatywnego </w:t>
            </w:r>
            <w:r w:rsidR="00D82A72">
              <w:rPr>
                <w:rFonts w:ascii="Times New Roman" w:hAnsi="Times New Roman"/>
              </w:rPr>
              <w:t>zjawiska windowania kosztów sporządzania leków recepturowych</w:t>
            </w:r>
            <w:r w:rsidR="00D94C75" w:rsidRPr="0095120B">
              <w:rPr>
                <w:rFonts w:ascii="Times New Roman" w:hAnsi="Times New Roman"/>
              </w:rPr>
              <w:t>;</w:t>
            </w:r>
          </w:p>
          <w:p w14:paraId="098B93AE" w14:textId="364C3B6B" w:rsidR="00AB274C" w:rsidRPr="0095120B" w:rsidRDefault="0089690C" w:rsidP="004663A3">
            <w:pPr>
              <w:pStyle w:val="Akapitzlist"/>
              <w:numPr>
                <w:ilvl w:val="0"/>
                <w:numId w:val="38"/>
              </w:numPr>
              <w:jc w:val="both"/>
              <w:rPr>
                <w:rFonts w:ascii="Times New Roman" w:hAnsi="Times New Roman"/>
              </w:rPr>
            </w:pPr>
            <w:r w:rsidRPr="0095120B">
              <w:rPr>
                <w:rFonts w:ascii="Times New Roman" w:hAnsi="Times New Roman"/>
              </w:rPr>
              <w:t xml:space="preserve">nieadekwatność definicji „marży aptecznej” leków recepturowych, które mają być refundowane, rozpatrywana na tle trendu spadkowego </w:t>
            </w:r>
            <w:r w:rsidR="00AB274C" w:rsidRPr="0095120B">
              <w:rPr>
                <w:rFonts w:ascii="Times New Roman" w:hAnsi="Times New Roman"/>
              </w:rPr>
              <w:t>rentowności przygoto</w:t>
            </w:r>
            <w:r w:rsidRPr="0095120B">
              <w:rPr>
                <w:rFonts w:ascii="Times New Roman" w:hAnsi="Times New Roman"/>
              </w:rPr>
              <w:t>wy</w:t>
            </w:r>
            <w:r w:rsidR="00AB274C" w:rsidRPr="0095120B">
              <w:rPr>
                <w:rFonts w:ascii="Times New Roman" w:hAnsi="Times New Roman"/>
              </w:rPr>
              <w:t xml:space="preserve">wania </w:t>
            </w:r>
            <w:r w:rsidRPr="0095120B">
              <w:rPr>
                <w:rFonts w:ascii="Times New Roman" w:hAnsi="Times New Roman"/>
              </w:rPr>
              <w:t>takich leków w aptekach ogólnodostępnych</w:t>
            </w:r>
            <w:r w:rsidR="00943626">
              <w:rPr>
                <w:rFonts w:ascii="Times New Roman" w:hAnsi="Times New Roman"/>
              </w:rPr>
              <w:t>.</w:t>
            </w:r>
            <w:r w:rsidR="00C04D52" w:rsidRPr="0095120B">
              <w:rPr>
                <w:rFonts w:ascii="Times New Roman" w:hAnsi="Times New Roman"/>
              </w:rPr>
              <w:t xml:space="preserve"> </w:t>
            </w:r>
            <w:r w:rsidR="00943626">
              <w:rPr>
                <w:rFonts w:ascii="Times New Roman" w:hAnsi="Times New Roman"/>
              </w:rPr>
              <w:t>W</w:t>
            </w:r>
            <w:r w:rsidR="00C04D52" w:rsidRPr="0095120B">
              <w:rPr>
                <w:rFonts w:ascii="Times New Roman" w:hAnsi="Times New Roman"/>
              </w:rPr>
              <w:t xml:space="preserve"> związku z przygotowywaniem takich leków apteki ogólnodostępne nie zarabiają, a obecne przepisy prawa pozwalają co</w:t>
            </w:r>
            <w:r w:rsidR="006A71F8">
              <w:rPr>
                <w:rFonts w:ascii="Times New Roman" w:hAnsi="Times New Roman"/>
              </w:rPr>
              <w:t> </w:t>
            </w:r>
            <w:r w:rsidR="00C04D52" w:rsidRPr="0095120B">
              <w:rPr>
                <w:rFonts w:ascii="Times New Roman" w:hAnsi="Times New Roman"/>
              </w:rPr>
              <w:t>najwyżej na pokrycie związanych z tym kosztów</w:t>
            </w:r>
            <w:r w:rsidRPr="0095120B">
              <w:rPr>
                <w:rFonts w:ascii="Times New Roman" w:hAnsi="Times New Roman"/>
              </w:rPr>
              <w:t xml:space="preserve"> (np. przez wprowadzenie w 2023 r. limitów finansowania omawianych surowców)</w:t>
            </w:r>
            <w:r w:rsidR="00943626">
              <w:rPr>
                <w:rFonts w:ascii="Times New Roman" w:hAnsi="Times New Roman"/>
              </w:rPr>
              <w:t>.</w:t>
            </w:r>
            <w:r w:rsidRPr="0095120B">
              <w:rPr>
                <w:rFonts w:ascii="Times New Roman" w:hAnsi="Times New Roman"/>
              </w:rPr>
              <w:t xml:space="preserve"> </w:t>
            </w:r>
            <w:r w:rsidR="00943626">
              <w:rPr>
                <w:rFonts w:ascii="Times New Roman" w:hAnsi="Times New Roman"/>
              </w:rPr>
              <w:t>O</w:t>
            </w:r>
            <w:r w:rsidRPr="0095120B">
              <w:rPr>
                <w:rFonts w:ascii="Times New Roman" w:hAnsi="Times New Roman"/>
              </w:rPr>
              <w:t xml:space="preserve">bserwowany jest trend poszukiwania dróg zawyżania wartości procesu sporządzania takiego rodzaju leków – np. </w:t>
            </w:r>
            <w:r w:rsidR="00ED16ED">
              <w:rPr>
                <w:rFonts w:ascii="Times New Roman" w:hAnsi="Times New Roman"/>
              </w:rPr>
              <w:t>drogą</w:t>
            </w:r>
            <w:r w:rsidR="007F2D31">
              <w:rPr>
                <w:rFonts w:ascii="Times New Roman" w:hAnsi="Times New Roman"/>
              </w:rPr>
              <w:t xml:space="preserve"> </w:t>
            </w:r>
            <w:r w:rsidRPr="0095120B">
              <w:rPr>
                <w:rFonts w:ascii="Times New Roman" w:hAnsi="Times New Roman"/>
              </w:rPr>
              <w:t>zawyżani</w:t>
            </w:r>
            <w:r w:rsidR="00ED16ED">
              <w:rPr>
                <w:rFonts w:ascii="Times New Roman" w:hAnsi="Times New Roman"/>
              </w:rPr>
              <w:t>a</w:t>
            </w:r>
            <w:r w:rsidRPr="0095120B">
              <w:rPr>
                <w:rFonts w:ascii="Times New Roman" w:hAnsi="Times New Roman"/>
              </w:rPr>
              <w:t xml:space="preserve"> faktycznych wartości ute</w:t>
            </w:r>
            <w:r w:rsidR="009D1253">
              <w:rPr>
                <w:rFonts w:ascii="Times New Roman" w:hAnsi="Times New Roman"/>
              </w:rPr>
              <w:t>n</w:t>
            </w:r>
            <w:r w:rsidRPr="0095120B">
              <w:rPr>
                <w:rFonts w:ascii="Times New Roman" w:hAnsi="Times New Roman"/>
              </w:rPr>
              <w:t xml:space="preserve">syliów, o </w:t>
            </w:r>
            <w:r w:rsidR="00D82A72">
              <w:rPr>
                <w:rFonts w:ascii="Times New Roman" w:hAnsi="Times New Roman"/>
              </w:rPr>
              <w:t>czym</w:t>
            </w:r>
            <w:r w:rsidR="00D82A72" w:rsidRPr="0095120B">
              <w:rPr>
                <w:rFonts w:ascii="Times New Roman" w:hAnsi="Times New Roman"/>
              </w:rPr>
              <w:t xml:space="preserve"> </w:t>
            </w:r>
            <w:r w:rsidRPr="0095120B">
              <w:rPr>
                <w:rFonts w:ascii="Times New Roman" w:hAnsi="Times New Roman"/>
              </w:rPr>
              <w:t>mowa w pkt 9;</w:t>
            </w:r>
          </w:p>
          <w:p w14:paraId="32B2F6A2" w14:textId="16A21680" w:rsidR="007E3030" w:rsidRPr="0095120B" w:rsidRDefault="007E3030" w:rsidP="004663A3">
            <w:pPr>
              <w:pStyle w:val="Akapitzlist"/>
              <w:numPr>
                <w:ilvl w:val="0"/>
                <w:numId w:val="38"/>
              </w:numPr>
              <w:jc w:val="both"/>
              <w:rPr>
                <w:rFonts w:ascii="Times New Roman" w:hAnsi="Times New Roman"/>
              </w:rPr>
            </w:pPr>
            <w:r w:rsidRPr="0095120B">
              <w:rPr>
                <w:rFonts w:ascii="Times New Roman" w:hAnsi="Times New Roman"/>
              </w:rPr>
              <w:t xml:space="preserve">możliwość refundacji leków </w:t>
            </w:r>
            <w:r w:rsidR="00F527C6" w:rsidRPr="0095120B">
              <w:rPr>
                <w:rFonts w:ascii="Times New Roman" w:hAnsi="Times New Roman"/>
              </w:rPr>
              <w:t>wydawanych bez przepisu lekarza (</w:t>
            </w:r>
            <w:r w:rsidRPr="0095120B">
              <w:rPr>
                <w:rFonts w:ascii="Times New Roman" w:hAnsi="Times New Roman"/>
              </w:rPr>
              <w:t>OTC</w:t>
            </w:r>
            <w:r w:rsidR="00F527C6" w:rsidRPr="0095120B">
              <w:rPr>
                <w:rFonts w:ascii="Times New Roman" w:hAnsi="Times New Roman"/>
              </w:rPr>
              <w:t>)</w:t>
            </w:r>
            <w:r w:rsidRPr="0095120B">
              <w:rPr>
                <w:rFonts w:ascii="Times New Roman" w:hAnsi="Times New Roman"/>
              </w:rPr>
              <w:t xml:space="preserve"> w sytuacji, w której nie wszystkie </w:t>
            </w:r>
            <w:r w:rsidR="006E3AC0" w:rsidRPr="0095120B">
              <w:rPr>
                <w:rFonts w:ascii="Times New Roman" w:hAnsi="Times New Roman"/>
              </w:rPr>
              <w:t xml:space="preserve">analogiczne </w:t>
            </w:r>
            <w:r w:rsidRPr="0095120B">
              <w:rPr>
                <w:rFonts w:ascii="Times New Roman" w:hAnsi="Times New Roman"/>
              </w:rPr>
              <w:t>terapie dostępne wyłącznie na receptę są refundowan</w:t>
            </w:r>
            <w:r w:rsidR="00B57071" w:rsidRPr="0095120B">
              <w:rPr>
                <w:rFonts w:ascii="Times New Roman" w:hAnsi="Times New Roman"/>
              </w:rPr>
              <w:t>e</w:t>
            </w:r>
            <w:r w:rsidR="006E3AC0" w:rsidRPr="0095120B">
              <w:rPr>
                <w:rFonts w:ascii="Times New Roman" w:hAnsi="Times New Roman"/>
              </w:rPr>
              <w:t>, podczas gdy takie rozwiązanie nie powinno funkcjonować</w:t>
            </w:r>
            <w:r w:rsidR="00A7032D">
              <w:rPr>
                <w:rFonts w:ascii="Times New Roman" w:hAnsi="Times New Roman"/>
              </w:rPr>
              <w:t xml:space="preserve">, ponieważ ze swojej istoty leki wydawane bez recepty powinny być tańsze, a przez to o wiele łatwiejsze do nabycia niż leki </w:t>
            </w:r>
            <w:r w:rsidR="00D82A72">
              <w:rPr>
                <w:rFonts w:ascii="Times New Roman" w:hAnsi="Times New Roman"/>
              </w:rPr>
              <w:t>wymagające recepty dla ich wydania</w:t>
            </w:r>
            <w:r w:rsidR="007E27F2">
              <w:rPr>
                <w:rFonts w:ascii="Times New Roman" w:hAnsi="Times New Roman"/>
              </w:rPr>
              <w:t>. Z powyższego powodu nieprawidłowe jest też utrzymywanie na liście refundacyjnej leku, któr</w:t>
            </w:r>
            <w:r w:rsidR="00D02175">
              <w:rPr>
                <w:rFonts w:ascii="Times New Roman" w:hAnsi="Times New Roman"/>
              </w:rPr>
              <w:t>emu</w:t>
            </w:r>
            <w:r w:rsidR="007E27F2">
              <w:rPr>
                <w:rFonts w:ascii="Times New Roman" w:hAnsi="Times New Roman"/>
              </w:rPr>
              <w:t xml:space="preserve"> w trakcie obowiązywania </w:t>
            </w:r>
            <w:r w:rsidR="00D02175">
              <w:rPr>
                <w:rFonts w:ascii="Times New Roman" w:hAnsi="Times New Roman"/>
              </w:rPr>
              <w:t>w stosunku do</w:t>
            </w:r>
            <w:r w:rsidR="004D3096">
              <w:rPr>
                <w:rFonts w:ascii="Times New Roman" w:hAnsi="Times New Roman"/>
              </w:rPr>
              <w:t xml:space="preserve"> niego decyzji administracyjnej o objęciu refundacją i ustalenia ceny zbytu netto</w:t>
            </w:r>
            <w:r w:rsidR="00D02175">
              <w:rPr>
                <w:rFonts w:ascii="Times New Roman" w:hAnsi="Times New Roman"/>
              </w:rPr>
              <w:t>,</w:t>
            </w:r>
            <w:r w:rsidR="004D3096">
              <w:rPr>
                <w:rFonts w:ascii="Times New Roman" w:hAnsi="Times New Roman"/>
              </w:rPr>
              <w:t xml:space="preserve"> zmieni</w:t>
            </w:r>
            <w:r w:rsidR="00D02175">
              <w:rPr>
                <w:rFonts w:ascii="Times New Roman" w:hAnsi="Times New Roman"/>
              </w:rPr>
              <w:t>ono</w:t>
            </w:r>
            <w:r w:rsidR="004D3096">
              <w:rPr>
                <w:rFonts w:ascii="Times New Roman" w:hAnsi="Times New Roman"/>
              </w:rPr>
              <w:t xml:space="preserve"> kategorię </w:t>
            </w:r>
            <w:r w:rsidR="00D02175">
              <w:rPr>
                <w:rFonts w:ascii="Times New Roman" w:hAnsi="Times New Roman"/>
              </w:rPr>
              <w:t xml:space="preserve">dostępności </w:t>
            </w:r>
            <w:r w:rsidR="004D3096">
              <w:rPr>
                <w:rFonts w:ascii="Times New Roman" w:hAnsi="Times New Roman"/>
              </w:rPr>
              <w:t xml:space="preserve">z leku przepisywanego na receptę na lek </w:t>
            </w:r>
            <w:r w:rsidR="00D02175">
              <w:rPr>
                <w:rFonts w:ascii="Times New Roman" w:hAnsi="Times New Roman"/>
              </w:rPr>
              <w:t xml:space="preserve">wydawany </w:t>
            </w:r>
            <w:r w:rsidR="00254C29">
              <w:rPr>
                <w:rFonts w:ascii="Times New Roman" w:hAnsi="Times New Roman"/>
              </w:rPr>
              <w:t>bez</w:t>
            </w:r>
            <w:r w:rsidR="00D02175">
              <w:rPr>
                <w:rFonts w:ascii="Times New Roman" w:hAnsi="Times New Roman"/>
              </w:rPr>
              <w:t xml:space="preserve"> </w:t>
            </w:r>
            <w:r w:rsidR="009A4658">
              <w:rPr>
                <w:rFonts w:ascii="Times New Roman" w:hAnsi="Times New Roman"/>
              </w:rPr>
              <w:t>przepisu</w:t>
            </w:r>
            <w:r w:rsidR="00D02175">
              <w:rPr>
                <w:rFonts w:ascii="Times New Roman" w:hAnsi="Times New Roman"/>
              </w:rPr>
              <w:t xml:space="preserve"> lekarza</w:t>
            </w:r>
            <w:r w:rsidR="00254C29">
              <w:rPr>
                <w:rFonts w:ascii="Times New Roman" w:hAnsi="Times New Roman"/>
              </w:rPr>
              <w:t xml:space="preserve"> (OTC)</w:t>
            </w:r>
            <w:r w:rsidR="00C91B9A">
              <w:rPr>
                <w:rFonts w:ascii="Times New Roman" w:hAnsi="Times New Roman"/>
              </w:rPr>
              <w:t>.</w:t>
            </w:r>
            <w:r w:rsidR="004B04B4">
              <w:t xml:space="preserve"> </w:t>
            </w:r>
            <w:r w:rsidR="004B04B4" w:rsidRPr="004B04B4">
              <w:rPr>
                <w:rFonts w:ascii="Times New Roman" w:hAnsi="Times New Roman"/>
              </w:rPr>
              <w:t>Refundacja leków OTC powinna być możliwa po zaspokojeniu potrzeb pacjentów w zakresie dostępności nierefundowanych leków na receptę, w przeciwnej sytuacji całkowity budżet na refundację zostanie zmniejszony o kwoty refundowanych leków OTC, które mogłyby zostać przeznaczone na refundację leków na receptę, co przynosiłoby bardziej wymierne korzyści zdrowotne dla pacjenta. Zmiana kategorii dostępności leku z wydawanego na receptę (</w:t>
            </w:r>
            <w:proofErr w:type="spellStart"/>
            <w:r w:rsidR="004B04B4" w:rsidRPr="004B04B4">
              <w:rPr>
                <w:rFonts w:ascii="Times New Roman" w:hAnsi="Times New Roman"/>
              </w:rPr>
              <w:t>Rp</w:t>
            </w:r>
            <w:proofErr w:type="spellEnd"/>
            <w:r w:rsidR="004B04B4" w:rsidRPr="004B04B4">
              <w:rPr>
                <w:rFonts w:ascii="Times New Roman" w:hAnsi="Times New Roman"/>
              </w:rPr>
              <w:t>) na wydawany bez przepisu lekarza (OTC) jest zmianą warunków refundacyjnych określonych w obowiązującej decyzji Ministra Zdrowia ustalonych w trakcie postępowania administracyjnego</w:t>
            </w:r>
            <w:r w:rsidR="00D82A72">
              <w:rPr>
                <w:rFonts w:ascii="Times New Roman" w:hAnsi="Times New Roman"/>
              </w:rPr>
              <w:t>;</w:t>
            </w:r>
            <w:r w:rsidR="006E3AC0" w:rsidRPr="0095120B">
              <w:rPr>
                <w:rFonts w:ascii="Times New Roman" w:hAnsi="Times New Roman"/>
              </w:rPr>
              <w:t xml:space="preserve"> </w:t>
            </w:r>
          </w:p>
          <w:p w14:paraId="0626D90C" w14:textId="3719FD98" w:rsidR="007E3030" w:rsidRPr="0095120B" w:rsidRDefault="00D94C75" w:rsidP="004663A3">
            <w:pPr>
              <w:pStyle w:val="Akapitzlist"/>
              <w:numPr>
                <w:ilvl w:val="0"/>
                <w:numId w:val="38"/>
              </w:numPr>
              <w:jc w:val="both"/>
              <w:rPr>
                <w:rFonts w:ascii="Times New Roman" w:hAnsi="Times New Roman"/>
              </w:rPr>
            </w:pPr>
            <w:r w:rsidRPr="0095120B">
              <w:rPr>
                <w:rFonts w:ascii="Times New Roman" w:hAnsi="Times New Roman"/>
              </w:rPr>
              <w:t>b</w:t>
            </w:r>
            <w:r w:rsidR="00D17092" w:rsidRPr="0095120B">
              <w:rPr>
                <w:rFonts w:ascii="Times New Roman" w:hAnsi="Times New Roman"/>
              </w:rPr>
              <w:t xml:space="preserve">rak możliwości wpływania przez </w:t>
            </w:r>
            <w:r w:rsidR="00E71FE8" w:rsidRPr="0095120B">
              <w:rPr>
                <w:rFonts w:ascii="Times New Roman" w:hAnsi="Times New Roman"/>
              </w:rPr>
              <w:t>Ministra Zdrowia</w:t>
            </w:r>
            <w:r w:rsidR="00D17092" w:rsidRPr="0095120B">
              <w:rPr>
                <w:rFonts w:ascii="Times New Roman" w:hAnsi="Times New Roman"/>
              </w:rPr>
              <w:t xml:space="preserve"> </w:t>
            </w:r>
            <w:r w:rsidR="00856098" w:rsidRPr="0095120B">
              <w:rPr>
                <w:rFonts w:ascii="Times New Roman" w:hAnsi="Times New Roman"/>
              </w:rPr>
              <w:t>na wnioskodawców</w:t>
            </w:r>
            <w:r w:rsidR="0067413C">
              <w:rPr>
                <w:rFonts w:ascii="Times New Roman" w:hAnsi="Times New Roman"/>
              </w:rPr>
              <w:t>,</w:t>
            </w:r>
            <w:r w:rsidR="00856098" w:rsidRPr="0095120B">
              <w:rPr>
                <w:rFonts w:ascii="Times New Roman" w:hAnsi="Times New Roman"/>
              </w:rPr>
              <w:t xml:space="preserve"> by skł</w:t>
            </w:r>
            <w:r w:rsidR="00D17092" w:rsidRPr="0095120B">
              <w:rPr>
                <w:rFonts w:ascii="Times New Roman" w:hAnsi="Times New Roman"/>
              </w:rPr>
              <w:t>ada</w:t>
            </w:r>
            <w:r w:rsidR="00856098" w:rsidRPr="0095120B">
              <w:rPr>
                <w:rFonts w:ascii="Times New Roman" w:hAnsi="Times New Roman"/>
              </w:rPr>
              <w:t xml:space="preserve">li </w:t>
            </w:r>
            <w:r w:rsidR="00D17092" w:rsidRPr="0095120B">
              <w:rPr>
                <w:rFonts w:ascii="Times New Roman" w:hAnsi="Times New Roman"/>
              </w:rPr>
              <w:t>wnios</w:t>
            </w:r>
            <w:r w:rsidR="00856098" w:rsidRPr="0095120B">
              <w:rPr>
                <w:rFonts w:ascii="Times New Roman" w:hAnsi="Times New Roman"/>
              </w:rPr>
              <w:t>ki refundacyjne</w:t>
            </w:r>
            <w:r w:rsidR="00D17092" w:rsidRPr="0095120B">
              <w:rPr>
                <w:rFonts w:ascii="Times New Roman" w:hAnsi="Times New Roman"/>
              </w:rPr>
              <w:t>, co powoduje, że</w:t>
            </w:r>
            <w:r w:rsidR="00B57071" w:rsidRPr="0095120B">
              <w:rPr>
                <w:rFonts w:ascii="Times New Roman" w:hAnsi="Times New Roman"/>
              </w:rPr>
              <w:t xml:space="preserve"> Minister Zdrowia jest zależny od </w:t>
            </w:r>
            <w:r w:rsidR="00D17092" w:rsidRPr="0095120B">
              <w:rPr>
                <w:rFonts w:ascii="Times New Roman" w:hAnsi="Times New Roman"/>
              </w:rPr>
              <w:t>działa</w:t>
            </w:r>
            <w:r w:rsidR="00B57071" w:rsidRPr="0095120B">
              <w:rPr>
                <w:rFonts w:ascii="Times New Roman" w:hAnsi="Times New Roman"/>
              </w:rPr>
              <w:t>ń</w:t>
            </w:r>
            <w:r w:rsidR="00D17092" w:rsidRPr="0095120B">
              <w:rPr>
                <w:rFonts w:ascii="Times New Roman" w:hAnsi="Times New Roman"/>
              </w:rPr>
              <w:t xml:space="preserve"> </w:t>
            </w:r>
            <w:r w:rsidR="00B57071" w:rsidRPr="0095120B">
              <w:rPr>
                <w:rFonts w:ascii="Times New Roman" w:hAnsi="Times New Roman"/>
              </w:rPr>
              <w:t xml:space="preserve">wnioskodawców </w:t>
            </w:r>
            <w:r w:rsidR="00D17092" w:rsidRPr="0095120B">
              <w:rPr>
                <w:rFonts w:ascii="Times New Roman" w:hAnsi="Times New Roman"/>
              </w:rPr>
              <w:t>w zakresie objęcia refundacją pożądanych produk</w:t>
            </w:r>
            <w:r w:rsidR="009E27C5" w:rsidRPr="0095120B">
              <w:rPr>
                <w:rFonts w:ascii="Times New Roman" w:hAnsi="Times New Roman"/>
              </w:rPr>
              <w:t>tów</w:t>
            </w:r>
            <w:r w:rsidRPr="0095120B">
              <w:rPr>
                <w:rFonts w:ascii="Times New Roman" w:hAnsi="Times New Roman"/>
              </w:rPr>
              <w:t>;</w:t>
            </w:r>
          </w:p>
          <w:p w14:paraId="5021418F" w14:textId="2AD12020" w:rsidR="00BF25A6" w:rsidRPr="0095120B" w:rsidRDefault="00D94C75" w:rsidP="004663A3">
            <w:pPr>
              <w:pStyle w:val="Akapitzlist"/>
              <w:numPr>
                <w:ilvl w:val="0"/>
                <w:numId w:val="38"/>
              </w:numPr>
              <w:jc w:val="both"/>
              <w:rPr>
                <w:rFonts w:ascii="Times New Roman" w:hAnsi="Times New Roman"/>
              </w:rPr>
            </w:pPr>
            <w:r w:rsidRPr="0095120B">
              <w:rPr>
                <w:rFonts w:ascii="Times New Roman" w:hAnsi="Times New Roman"/>
              </w:rPr>
              <w:t>u</w:t>
            </w:r>
            <w:r w:rsidR="007F0A00" w:rsidRPr="0095120B">
              <w:rPr>
                <w:rFonts w:ascii="Times New Roman" w:hAnsi="Times New Roman"/>
              </w:rPr>
              <w:t>trudnio</w:t>
            </w:r>
            <w:r w:rsidR="00B57071" w:rsidRPr="0095120B">
              <w:rPr>
                <w:rFonts w:ascii="Times New Roman" w:hAnsi="Times New Roman"/>
              </w:rPr>
              <w:t>ne możliwości objęcia</w:t>
            </w:r>
            <w:r w:rsidR="007F0A00" w:rsidRPr="0095120B">
              <w:rPr>
                <w:rFonts w:ascii="Times New Roman" w:hAnsi="Times New Roman"/>
              </w:rPr>
              <w:t xml:space="preserve"> refundacj</w:t>
            </w:r>
            <w:r w:rsidR="00B57071" w:rsidRPr="0095120B">
              <w:rPr>
                <w:rFonts w:ascii="Times New Roman" w:hAnsi="Times New Roman"/>
              </w:rPr>
              <w:t>ą ze środków publicznych</w:t>
            </w:r>
            <w:r w:rsidR="00BF25A6" w:rsidRPr="0095120B">
              <w:rPr>
                <w:rFonts w:ascii="Times New Roman" w:hAnsi="Times New Roman"/>
              </w:rPr>
              <w:t xml:space="preserve"> </w:t>
            </w:r>
            <w:r w:rsidR="00B57071" w:rsidRPr="0095120B">
              <w:rPr>
                <w:rFonts w:ascii="Times New Roman" w:hAnsi="Times New Roman"/>
              </w:rPr>
              <w:t>leków pochodzących</w:t>
            </w:r>
            <w:r w:rsidR="00BF25A6" w:rsidRPr="0095120B">
              <w:rPr>
                <w:rFonts w:ascii="Times New Roman" w:hAnsi="Times New Roman"/>
              </w:rPr>
              <w:t xml:space="preserve"> z importu równoległego, </w:t>
            </w:r>
            <w:r w:rsidR="007C3755">
              <w:rPr>
                <w:rFonts w:ascii="Times New Roman" w:hAnsi="Times New Roman"/>
              </w:rPr>
              <w:t xml:space="preserve">co </w:t>
            </w:r>
            <w:r w:rsidR="00B57071" w:rsidRPr="0095120B">
              <w:rPr>
                <w:rFonts w:ascii="Times New Roman" w:hAnsi="Times New Roman"/>
              </w:rPr>
              <w:t>wynika z tego, że podmioty uprawnione do tego rodzaju importu (</w:t>
            </w:r>
            <w:r w:rsidR="008603ED" w:rsidRPr="0095120B">
              <w:rPr>
                <w:rFonts w:ascii="Times New Roman" w:hAnsi="Times New Roman"/>
              </w:rPr>
              <w:t>w</w:t>
            </w:r>
            <w:r w:rsidR="00BF25A6" w:rsidRPr="0095120B">
              <w:rPr>
                <w:rFonts w:ascii="Times New Roman" w:hAnsi="Times New Roman"/>
              </w:rPr>
              <w:t>nioskodawcy</w:t>
            </w:r>
            <w:r w:rsidR="00B57071" w:rsidRPr="0095120B">
              <w:rPr>
                <w:rFonts w:ascii="Times New Roman" w:hAnsi="Times New Roman"/>
              </w:rPr>
              <w:t>)</w:t>
            </w:r>
            <w:r w:rsidR="00BF25A6" w:rsidRPr="0095120B">
              <w:rPr>
                <w:rFonts w:ascii="Times New Roman" w:hAnsi="Times New Roman"/>
              </w:rPr>
              <w:t xml:space="preserve"> chcąc wprowadzić do systemu</w:t>
            </w:r>
            <w:r w:rsidR="00B57071" w:rsidRPr="0095120B">
              <w:rPr>
                <w:rFonts w:ascii="Times New Roman" w:hAnsi="Times New Roman"/>
              </w:rPr>
              <w:t xml:space="preserve"> refundacyjnego</w:t>
            </w:r>
            <w:r w:rsidR="00BF25A6" w:rsidRPr="0095120B">
              <w:rPr>
                <w:rFonts w:ascii="Times New Roman" w:hAnsi="Times New Roman"/>
              </w:rPr>
              <w:t xml:space="preserve"> lek pochodzący z importu równoległego</w:t>
            </w:r>
            <w:r w:rsidR="00B57071" w:rsidRPr="0095120B">
              <w:rPr>
                <w:rFonts w:ascii="Times New Roman" w:hAnsi="Times New Roman"/>
              </w:rPr>
              <w:t>,</w:t>
            </w:r>
            <w:r w:rsidR="00BF25A6" w:rsidRPr="0095120B">
              <w:rPr>
                <w:rFonts w:ascii="Times New Roman" w:hAnsi="Times New Roman"/>
              </w:rPr>
              <w:t xml:space="preserve"> </w:t>
            </w:r>
            <w:r w:rsidR="00B57071" w:rsidRPr="0095120B">
              <w:rPr>
                <w:rFonts w:ascii="Times New Roman" w:hAnsi="Times New Roman"/>
              </w:rPr>
              <w:t xml:space="preserve">często </w:t>
            </w:r>
            <w:r w:rsidR="00BF25A6" w:rsidRPr="0095120B">
              <w:rPr>
                <w:rFonts w:ascii="Times New Roman" w:hAnsi="Times New Roman"/>
              </w:rPr>
              <w:t>nie są w</w:t>
            </w:r>
            <w:r w:rsidR="008603ED" w:rsidRPr="0095120B">
              <w:rPr>
                <w:rFonts w:ascii="Times New Roman" w:hAnsi="Times New Roman"/>
              </w:rPr>
              <w:t xml:space="preserve"> </w:t>
            </w:r>
            <w:r w:rsidR="00BF25A6" w:rsidRPr="0095120B">
              <w:rPr>
                <w:rFonts w:ascii="Times New Roman" w:hAnsi="Times New Roman"/>
              </w:rPr>
              <w:t>stanie sprostać wszystkim wymog</w:t>
            </w:r>
            <w:r w:rsidR="00C23A67" w:rsidRPr="0095120B">
              <w:rPr>
                <w:rFonts w:ascii="Times New Roman" w:hAnsi="Times New Roman"/>
              </w:rPr>
              <w:t>om</w:t>
            </w:r>
            <w:r w:rsidR="00BF25A6" w:rsidRPr="0095120B">
              <w:rPr>
                <w:rFonts w:ascii="Times New Roman" w:hAnsi="Times New Roman"/>
              </w:rPr>
              <w:t xml:space="preserve"> formalnym</w:t>
            </w:r>
            <w:r w:rsidR="00B57071" w:rsidRPr="0095120B">
              <w:rPr>
                <w:rFonts w:ascii="Times New Roman" w:hAnsi="Times New Roman"/>
              </w:rPr>
              <w:t>,</w:t>
            </w:r>
            <w:r w:rsidR="00BF25A6" w:rsidRPr="0095120B">
              <w:rPr>
                <w:rFonts w:ascii="Times New Roman" w:hAnsi="Times New Roman"/>
              </w:rPr>
              <w:t xml:space="preserve"> jakie są stawiane przed </w:t>
            </w:r>
            <w:r w:rsidR="00B57071" w:rsidRPr="0095120B">
              <w:rPr>
                <w:rFonts w:ascii="Times New Roman" w:hAnsi="Times New Roman"/>
              </w:rPr>
              <w:t xml:space="preserve">wnioskodawcami </w:t>
            </w:r>
            <w:r w:rsidR="00BF25A6" w:rsidRPr="0095120B">
              <w:rPr>
                <w:rFonts w:ascii="Times New Roman" w:hAnsi="Times New Roman"/>
              </w:rPr>
              <w:t xml:space="preserve">albo </w:t>
            </w:r>
            <w:r w:rsidR="00B57071" w:rsidRPr="0095120B">
              <w:rPr>
                <w:rFonts w:ascii="Times New Roman" w:hAnsi="Times New Roman"/>
              </w:rPr>
              <w:t>ich</w:t>
            </w:r>
            <w:r w:rsidR="00BF25A6" w:rsidRPr="0095120B">
              <w:rPr>
                <w:rFonts w:ascii="Times New Roman" w:hAnsi="Times New Roman"/>
              </w:rPr>
              <w:t xml:space="preserve"> przedstawicielami</w:t>
            </w:r>
            <w:r w:rsidRPr="0095120B">
              <w:rPr>
                <w:rFonts w:ascii="Times New Roman" w:hAnsi="Times New Roman"/>
              </w:rPr>
              <w:t>;</w:t>
            </w:r>
          </w:p>
          <w:p w14:paraId="447D95D3" w14:textId="44A7AD6B" w:rsidR="00096569" w:rsidRPr="0095120B" w:rsidRDefault="007C3755" w:rsidP="004663A3">
            <w:pPr>
              <w:pStyle w:val="Akapitzlist"/>
              <w:numPr>
                <w:ilvl w:val="0"/>
                <w:numId w:val="38"/>
              </w:numPr>
              <w:jc w:val="both"/>
              <w:rPr>
                <w:rFonts w:ascii="Times New Roman" w:hAnsi="Times New Roman"/>
              </w:rPr>
            </w:pPr>
            <w:r>
              <w:rPr>
                <w:rFonts w:ascii="Times New Roman" w:hAnsi="Times New Roman"/>
              </w:rPr>
              <w:t xml:space="preserve">fizyczny </w:t>
            </w:r>
            <w:r w:rsidR="00BF25A6" w:rsidRPr="0095120B">
              <w:rPr>
                <w:rFonts w:ascii="Times New Roman" w:hAnsi="Times New Roman"/>
              </w:rPr>
              <w:t>b</w:t>
            </w:r>
            <w:r w:rsidR="009E27C5" w:rsidRPr="0095120B">
              <w:rPr>
                <w:rFonts w:ascii="Times New Roman" w:hAnsi="Times New Roman"/>
              </w:rPr>
              <w:t>r</w:t>
            </w:r>
            <w:r w:rsidR="00BF25A6" w:rsidRPr="0095120B">
              <w:rPr>
                <w:rFonts w:ascii="Times New Roman" w:hAnsi="Times New Roman"/>
              </w:rPr>
              <w:t xml:space="preserve">ak leków </w:t>
            </w:r>
            <w:r>
              <w:rPr>
                <w:rFonts w:ascii="Times New Roman" w:hAnsi="Times New Roman"/>
              </w:rPr>
              <w:t xml:space="preserve">refundowanych </w:t>
            </w:r>
            <w:r w:rsidR="00BF25A6" w:rsidRPr="0095120B">
              <w:rPr>
                <w:rFonts w:ascii="Times New Roman" w:hAnsi="Times New Roman"/>
              </w:rPr>
              <w:t xml:space="preserve">w sytuacji, w której </w:t>
            </w:r>
            <w:r w:rsidR="00C23A67" w:rsidRPr="0095120B">
              <w:rPr>
                <w:rFonts w:ascii="Times New Roman" w:hAnsi="Times New Roman"/>
              </w:rPr>
              <w:t>w</w:t>
            </w:r>
            <w:r w:rsidR="00BF25A6" w:rsidRPr="0095120B">
              <w:rPr>
                <w:rFonts w:ascii="Times New Roman" w:hAnsi="Times New Roman"/>
              </w:rPr>
              <w:t>nioskodawca pos</w:t>
            </w:r>
            <w:r w:rsidR="009E27C5" w:rsidRPr="0095120B">
              <w:rPr>
                <w:rFonts w:ascii="Times New Roman" w:hAnsi="Times New Roman"/>
              </w:rPr>
              <w:t>i</w:t>
            </w:r>
            <w:r w:rsidR="00BF25A6" w:rsidRPr="0095120B">
              <w:rPr>
                <w:rFonts w:ascii="Times New Roman" w:hAnsi="Times New Roman"/>
              </w:rPr>
              <w:t>ada ten sam lek w obcojęzycznym opakowaniu</w:t>
            </w:r>
            <w:r w:rsidR="00337236" w:rsidRPr="0095120B">
              <w:rPr>
                <w:rFonts w:ascii="Times New Roman" w:hAnsi="Times New Roman"/>
              </w:rPr>
              <w:t xml:space="preserve"> i </w:t>
            </w:r>
            <w:r w:rsidR="00BF25A6" w:rsidRPr="0095120B">
              <w:rPr>
                <w:rFonts w:ascii="Times New Roman" w:hAnsi="Times New Roman"/>
              </w:rPr>
              <w:t>może go wprowadzić do sytemu refundacji</w:t>
            </w:r>
            <w:r w:rsidR="00943626">
              <w:rPr>
                <w:rFonts w:ascii="Times New Roman" w:hAnsi="Times New Roman"/>
              </w:rPr>
              <w:t>.</w:t>
            </w:r>
            <w:r w:rsidR="00616555" w:rsidRPr="0095120B">
              <w:rPr>
                <w:rFonts w:ascii="Times New Roman" w:hAnsi="Times New Roman"/>
              </w:rPr>
              <w:t xml:space="preserve"> </w:t>
            </w:r>
            <w:r w:rsidR="00943626">
              <w:rPr>
                <w:rFonts w:ascii="Times New Roman" w:hAnsi="Times New Roman"/>
              </w:rPr>
              <w:t>W</w:t>
            </w:r>
            <w:r w:rsidR="00616555" w:rsidRPr="0095120B">
              <w:rPr>
                <w:rFonts w:ascii="Times New Roman" w:hAnsi="Times New Roman"/>
              </w:rPr>
              <w:t xml:space="preserve"> obrocie (a w konsekwencji w refundacji) powinny znajdować się wyłącznie leki w polskojęzycznych opakowaniach lub z polskojęzyczną ulotką </w:t>
            </w:r>
            <w:r w:rsidRPr="0095120B">
              <w:rPr>
                <w:rFonts w:ascii="Times New Roman" w:hAnsi="Times New Roman"/>
              </w:rPr>
              <w:t>informacyjn</w:t>
            </w:r>
            <w:r>
              <w:rPr>
                <w:rFonts w:ascii="Times New Roman" w:hAnsi="Times New Roman"/>
              </w:rPr>
              <w:t>ą</w:t>
            </w:r>
            <w:r w:rsidRPr="0095120B">
              <w:rPr>
                <w:rFonts w:ascii="Times New Roman" w:hAnsi="Times New Roman"/>
              </w:rPr>
              <w:t xml:space="preserve"> </w:t>
            </w:r>
            <w:r w:rsidR="00616555" w:rsidRPr="0095120B">
              <w:rPr>
                <w:rFonts w:ascii="Times New Roman" w:hAnsi="Times New Roman"/>
              </w:rPr>
              <w:t>dla pacjenta, a odstępstwa od tej zasady wiążą się z osobn</w:t>
            </w:r>
            <w:r w:rsidR="00DC7F99">
              <w:rPr>
                <w:rFonts w:ascii="Times New Roman" w:hAnsi="Times New Roman"/>
              </w:rPr>
              <w:t>ą</w:t>
            </w:r>
            <w:r w:rsidR="00616555" w:rsidRPr="0095120B">
              <w:rPr>
                <w:rFonts w:ascii="Times New Roman" w:hAnsi="Times New Roman"/>
              </w:rPr>
              <w:t xml:space="preserve"> procedurą określoną w art. 4c ustawy z dnia 6 września 2001 r. – Prawo farmaceutyczne</w:t>
            </w:r>
            <w:r w:rsidR="00005068">
              <w:rPr>
                <w:rFonts w:ascii="Times New Roman" w:hAnsi="Times New Roman"/>
              </w:rPr>
              <w:t>. J</w:t>
            </w:r>
            <w:r w:rsidR="00A7032D">
              <w:rPr>
                <w:rFonts w:ascii="Times New Roman" w:hAnsi="Times New Roman"/>
              </w:rPr>
              <w:t xml:space="preserve">ednak w </w:t>
            </w:r>
            <w:r w:rsidR="00005068">
              <w:rPr>
                <w:rFonts w:ascii="Times New Roman" w:hAnsi="Times New Roman"/>
              </w:rPr>
              <w:t>przypadku braku leku w polskim opakowaniu należy również udostępniać pacjentowi w ramach refundacji ten sam lek w obcojęzycznym opakowaniu, aby zapobiegać przerywaniu terapii z uwagi na czasowy brak leków</w:t>
            </w:r>
            <w:r w:rsidR="00616555" w:rsidRPr="0095120B">
              <w:rPr>
                <w:rFonts w:ascii="Times New Roman" w:hAnsi="Times New Roman"/>
              </w:rPr>
              <w:t>;</w:t>
            </w:r>
          </w:p>
          <w:p w14:paraId="57352F27" w14:textId="19347425" w:rsidR="00BF25A6" w:rsidRPr="0095120B" w:rsidRDefault="00616555" w:rsidP="004663A3">
            <w:pPr>
              <w:pStyle w:val="Akapitzlist"/>
              <w:numPr>
                <w:ilvl w:val="0"/>
                <w:numId w:val="38"/>
              </w:numPr>
              <w:jc w:val="both"/>
              <w:rPr>
                <w:rFonts w:ascii="Times New Roman" w:hAnsi="Times New Roman"/>
              </w:rPr>
            </w:pPr>
            <w:r w:rsidRPr="0095120B">
              <w:rPr>
                <w:rFonts w:ascii="Times New Roman" w:hAnsi="Times New Roman"/>
              </w:rPr>
              <w:t>k</w:t>
            </w:r>
            <w:r w:rsidR="00BF25A6" w:rsidRPr="0095120B">
              <w:rPr>
                <w:rFonts w:ascii="Times New Roman" w:hAnsi="Times New Roman"/>
              </w:rPr>
              <w:t>oniecznoś</w:t>
            </w:r>
            <w:r w:rsidR="00D94C75" w:rsidRPr="0095120B">
              <w:rPr>
                <w:rFonts w:ascii="Times New Roman" w:hAnsi="Times New Roman"/>
              </w:rPr>
              <w:t>ć</w:t>
            </w:r>
            <w:r w:rsidR="00B57071" w:rsidRPr="0095120B">
              <w:rPr>
                <w:rFonts w:ascii="Times New Roman" w:hAnsi="Times New Roman"/>
              </w:rPr>
              <w:t xml:space="preserve"> </w:t>
            </w:r>
            <w:r w:rsidR="00BF25A6" w:rsidRPr="0095120B">
              <w:rPr>
                <w:rFonts w:ascii="Times New Roman" w:hAnsi="Times New Roman"/>
              </w:rPr>
              <w:t xml:space="preserve">przedstawienia dowodu dostępności </w:t>
            </w:r>
            <w:r w:rsidR="005A0A7F" w:rsidRPr="0095120B">
              <w:rPr>
                <w:rFonts w:ascii="Times New Roman" w:hAnsi="Times New Roman"/>
              </w:rPr>
              <w:t xml:space="preserve">leku </w:t>
            </w:r>
            <w:r w:rsidR="00BF25A6" w:rsidRPr="0095120B">
              <w:rPr>
                <w:rFonts w:ascii="Times New Roman" w:hAnsi="Times New Roman"/>
              </w:rPr>
              <w:t>w obrocie w dniu składania wniosk</w:t>
            </w:r>
            <w:r w:rsidR="00D82A72">
              <w:rPr>
                <w:rFonts w:ascii="Times New Roman" w:hAnsi="Times New Roman"/>
              </w:rPr>
              <w:t>u</w:t>
            </w:r>
            <w:r w:rsidR="00B57071" w:rsidRPr="0095120B">
              <w:rPr>
                <w:rFonts w:ascii="Times New Roman" w:hAnsi="Times New Roman"/>
              </w:rPr>
              <w:t xml:space="preserve"> refundacyjn</w:t>
            </w:r>
            <w:r w:rsidR="00D82A72">
              <w:rPr>
                <w:rFonts w:ascii="Times New Roman" w:hAnsi="Times New Roman"/>
              </w:rPr>
              <w:t>ego</w:t>
            </w:r>
            <w:r w:rsidR="00BF25A6" w:rsidRPr="0095120B">
              <w:rPr>
                <w:rFonts w:ascii="Times New Roman" w:hAnsi="Times New Roman"/>
              </w:rPr>
              <w:t>, co</w:t>
            </w:r>
            <w:r w:rsidR="005A0A7F" w:rsidRPr="0095120B">
              <w:rPr>
                <w:rFonts w:ascii="Times New Roman" w:hAnsi="Times New Roman"/>
              </w:rPr>
              <w:t> </w:t>
            </w:r>
            <w:r w:rsidR="00BF25A6" w:rsidRPr="0095120B">
              <w:rPr>
                <w:rFonts w:ascii="Times New Roman" w:hAnsi="Times New Roman"/>
              </w:rPr>
              <w:t>niejednokrotnie wydłuża możliwość szybkiego udostępnienia leku świadczeniobiorcom</w:t>
            </w:r>
            <w:r w:rsidR="00D94C75" w:rsidRPr="0095120B">
              <w:rPr>
                <w:rFonts w:ascii="Times New Roman" w:hAnsi="Times New Roman"/>
              </w:rPr>
              <w:t>;</w:t>
            </w:r>
          </w:p>
          <w:p w14:paraId="00DE13E2" w14:textId="3C1C3DE2" w:rsidR="004663A3" w:rsidRPr="0095120B" w:rsidRDefault="00230F31" w:rsidP="004663A3">
            <w:pPr>
              <w:pStyle w:val="Akapitzlist"/>
              <w:numPr>
                <w:ilvl w:val="0"/>
                <w:numId w:val="38"/>
              </w:numPr>
              <w:jc w:val="both"/>
              <w:rPr>
                <w:rFonts w:ascii="Times New Roman" w:hAnsi="Times New Roman"/>
              </w:rPr>
            </w:pPr>
            <w:r>
              <w:rPr>
                <w:rFonts w:ascii="Times New Roman" w:hAnsi="Times New Roman"/>
              </w:rPr>
              <w:t xml:space="preserve">konieczność </w:t>
            </w:r>
            <w:r w:rsidR="005A059B" w:rsidRPr="0095120B">
              <w:rPr>
                <w:rFonts w:ascii="Times New Roman" w:hAnsi="Times New Roman"/>
              </w:rPr>
              <w:t>obniż</w:t>
            </w:r>
            <w:r w:rsidR="0089690C" w:rsidRPr="0095120B">
              <w:rPr>
                <w:rFonts w:ascii="Times New Roman" w:hAnsi="Times New Roman"/>
              </w:rPr>
              <w:t>e</w:t>
            </w:r>
            <w:r w:rsidR="005A059B" w:rsidRPr="0095120B">
              <w:rPr>
                <w:rFonts w:ascii="Times New Roman" w:hAnsi="Times New Roman"/>
              </w:rPr>
              <w:t xml:space="preserve">nia ceny zbytu netto </w:t>
            </w:r>
            <w:r w:rsidRPr="00230F31">
              <w:rPr>
                <w:rFonts w:ascii="Times New Roman" w:hAnsi="Times New Roman"/>
              </w:rPr>
              <w:t xml:space="preserve">leku objętego refundacją o 25 punktów procentowych </w:t>
            </w:r>
            <w:r w:rsidR="005A059B" w:rsidRPr="0095120B">
              <w:rPr>
                <w:rFonts w:ascii="Times New Roman" w:hAnsi="Times New Roman"/>
              </w:rPr>
              <w:t xml:space="preserve">w przypadku końca okresu wyłączności, o którym mowa w art. 15 ust. 2 ustawy z dnia 6 września 2001 r. </w:t>
            </w:r>
            <w:r w:rsidR="00726649" w:rsidRPr="0095120B">
              <w:rPr>
                <w:rFonts w:ascii="Times New Roman" w:hAnsi="Times New Roman"/>
              </w:rPr>
              <w:t>–</w:t>
            </w:r>
            <w:r w:rsidR="005A059B" w:rsidRPr="0095120B">
              <w:rPr>
                <w:rFonts w:ascii="Times New Roman" w:hAnsi="Times New Roman"/>
              </w:rPr>
              <w:t xml:space="preserve"> Prawo farmaceutyczn</w:t>
            </w:r>
            <w:r w:rsidR="00337236" w:rsidRPr="0095120B">
              <w:rPr>
                <w:rFonts w:ascii="Times New Roman" w:hAnsi="Times New Roman"/>
              </w:rPr>
              <w:t>e</w:t>
            </w:r>
            <w:r w:rsidR="005A059B" w:rsidRPr="0095120B">
              <w:rPr>
                <w:rFonts w:ascii="Times New Roman" w:hAnsi="Times New Roman"/>
              </w:rPr>
              <w:t xml:space="preserve">, </w:t>
            </w:r>
            <w:r w:rsidR="007C3755">
              <w:rPr>
                <w:rFonts w:ascii="Times New Roman" w:hAnsi="Times New Roman"/>
              </w:rPr>
              <w:t>podczas gdy</w:t>
            </w:r>
            <w:r w:rsidR="007C3755" w:rsidRPr="0095120B">
              <w:rPr>
                <w:rFonts w:ascii="Times New Roman" w:hAnsi="Times New Roman"/>
              </w:rPr>
              <w:t xml:space="preserve"> </w:t>
            </w:r>
            <w:r w:rsidR="005A059B" w:rsidRPr="0095120B">
              <w:rPr>
                <w:rFonts w:ascii="Times New Roman" w:hAnsi="Times New Roman"/>
              </w:rPr>
              <w:t>niejednokrotnie wnioskodawcy w okresie obowiązywania okresu wyłączności rynkowej obniżają cenę produktu o więcej niż 25</w:t>
            </w:r>
            <w:r>
              <w:rPr>
                <w:rFonts w:ascii="Times New Roman" w:hAnsi="Times New Roman"/>
              </w:rPr>
              <w:t xml:space="preserve"> punktów procentowych</w:t>
            </w:r>
            <w:r w:rsidRPr="0095120B">
              <w:rPr>
                <w:rFonts w:ascii="Times New Roman" w:hAnsi="Times New Roman"/>
              </w:rPr>
              <w:t xml:space="preserve">, </w:t>
            </w:r>
            <w:r w:rsidR="005A059B" w:rsidRPr="0095120B">
              <w:rPr>
                <w:rFonts w:ascii="Times New Roman" w:hAnsi="Times New Roman"/>
              </w:rPr>
              <w:t>co powoduje, że</w:t>
            </w:r>
            <w:r w:rsidR="006A71F8">
              <w:rPr>
                <w:rFonts w:ascii="Times New Roman" w:hAnsi="Times New Roman"/>
              </w:rPr>
              <w:t> </w:t>
            </w:r>
            <w:r w:rsidR="00726649" w:rsidRPr="0095120B">
              <w:rPr>
                <w:rFonts w:ascii="Times New Roman" w:hAnsi="Times New Roman"/>
              </w:rPr>
              <w:t>w</w:t>
            </w:r>
            <w:r w:rsidR="005A059B" w:rsidRPr="0095120B">
              <w:rPr>
                <w:rFonts w:ascii="Times New Roman" w:hAnsi="Times New Roman"/>
              </w:rPr>
              <w:t xml:space="preserve">nioskodawcy wybierają chwilowe wyjście z systemu refundacji i ponowny powrót </w:t>
            </w:r>
            <w:r w:rsidR="005B7B57">
              <w:rPr>
                <w:rFonts w:ascii="Times New Roman" w:hAnsi="Times New Roman"/>
              </w:rPr>
              <w:t xml:space="preserve">z następczym </w:t>
            </w:r>
            <w:r w:rsidR="005A059B" w:rsidRPr="0095120B">
              <w:rPr>
                <w:rFonts w:ascii="Times New Roman" w:hAnsi="Times New Roman"/>
              </w:rPr>
              <w:t>prze</w:t>
            </w:r>
            <w:r w:rsidR="005B7B57">
              <w:rPr>
                <w:rFonts w:ascii="Times New Roman" w:hAnsi="Times New Roman"/>
              </w:rPr>
              <w:t>jściem</w:t>
            </w:r>
            <w:r w:rsidR="005A059B" w:rsidRPr="0095120B">
              <w:rPr>
                <w:rFonts w:ascii="Times New Roman" w:hAnsi="Times New Roman"/>
              </w:rPr>
              <w:t xml:space="preserve"> cał</w:t>
            </w:r>
            <w:r w:rsidR="005B7B57">
              <w:rPr>
                <w:rFonts w:ascii="Times New Roman" w:hAnsi="Times New Roman"/>
              </w:rPr>
              <w:t>ej</w:t>
            </w:r>
            <w:r w:rsidR="005A059B" w:rsidRPr="0095120B">
              <w:rPr>
                <w:rFonts w:ascii="Times New Roman" w:hAnsi="Times New Roman"/>
              </w:rPr>
              <w:t xml:space="preserve"> procedur</w:t>
            </w:r>
            <w:r w:rsidR="005B7B57">
              <w:rPr>
                <w:rFonts w:ascii="Times New Roman" w:hAnsi="Times New Roman"/>
              </w:rPr>
              <w:t>y</w:t>
            </w:r>
            <w:r w:rsidR="005A059B" w:rsidRPr="0095120B">
              <w:rPr>
                <w:rFonts w:ascii="Times New Roman" w:hAnsi="Times New Roman"/>
              </w:rPr>
              <w:t xml:space="preserve"> objęcia refundacją. Powoduje to, że produkt przez pewien okres jest niedostępny </w:t>
            </w:r>
            <w:r w:rsidR="00337236" w:rsidRPr="0095120B">
              <w:rPr>
                <w:rFonts w:ascii="Times New Roman" w:hAnsi="Times New Roman"/>
              </w:rPr>
              <w:t>dla</w:t>
            </w:r>
            <w:r w:rsidR="006A71F8">
              <w:rPr>
                <w:rFonts w:ascii="Times New Roman" w:hAnsi="Times New Roman"/>
              </w:rPr>
              <w:t> </w:t>
            </w:r>
            <w:r w:rsidR="005A059B" w:rsidRPr="0095120B">
              <w:rPr>
                <w:rFonts w:ascii="Times New Roman" w:hAnsi="Times New Roman"/>
              </w:rPr>
              <w:t>świadczeniobiorc</w:t>
            </w:r>
            <w:r w:rsidR="00337236" w:rsidRPr="0095120B">
              <w:rPr>
                <w:rFonts w:ascii="Times New Roman" w:hAnsi="Times New Roman"/>
              </w:rPr>
              <w:t>y</w:t>
            </w:r>
            <w:r w:rsidR="005A059B" w:rsidRPr="0095120B">
              <w:rPr>
                <w:rFonts w:ascii="Times New Roman" w:hAnsi="Times New Roman"/>
              </w:rPr>
              <w:t xml:space="preserve"> w ramach refundacji</w:t>
            </w:r>
            <w:r w:rsidR="007D6A5E">
              <w:rPr>
                <w:rFonts w:ascii="Times New Roman" w:hAnsi="Times New Roman"/>
              </w:rPr>
              <w:t xml:space="preserve"> i stanowi swego rodzaju obejście ustawowego obowiązku </w:t>
            </w:r>
            <w:r w:rsidR="00943626">
              <w:rPr>
                <w:rFonts w:ascii="Times New Roman" w:hAnsi="Times New Roman"/>
              </w:rPr>
              <w:t>w</w:t>
            </w:r>
            <w:r w:rsidR="007D6A5E">
              <w:rPr>
                <w:rFonts w:ascii="Times New Roman" w:hAnsi="Times New Roman"/>
              </w:rPr>
              <w:t xml:space="preserve">nioskodawcy wskazując na brak efektywności obecnych </w:t>
            </w:r>
            <w:r w:rsidR="00404501">
              <w:rPr>
                <w:rFonts w:ascii="Times New Roman" w:hAnsi="Times New Roman"/>
              </w:rPr>
              <w:t>przepisów</w:t>
            </w:r>
            <w:r w:rsidR="007D6A5E">
              <w:rPr>
                <w:rFonts w:ascii="Times New Roman" w:hAnsi="Times New Roman"/>
              </w:rPr>
              <w:t xml:space="preserve"> w niektórych przypadkach</w:t>
            </w:r>
            <w:r w:rsidR="00943626">
              <w:rPr>
                <w:rFonts w:ascii="Times New Roman" w:hAnsi="Times New Roman"/>
              </w:rPr>
              <w:t>.</w:t>
            </w:r>
            <w:r w:rsidR="006C5882">
              <w:rPr>
                <w:rFonts w:ascii="Times New Roman" w:hAnsi="Times New Roman"/>
              </w:rPr>
              <w:t xml:space="preserve"> </w:t>
            </w:r>
            <w:r w:rsidR="00943626">
              <w:rPr>
                <w:rFonts w:ascii="Times New Roman" w:hAnsi="Times New Roman"/>
              </w:rPr>
              <w:t>W</w:t>
            </w:r>
            <w:r w:rsidR="007D6A5E">
              <w:rPr>
                <w:rFonts w:ascii="Times New Roman" w:hAnsi="Times New Roman"/>
              </w:rPr>
              <w:t xml:space="preserve"> tym zakresie </w:t>
            </w:r>
            <w:r w:rsidR="00C91B9A">
              <w:rPr>
                <w:rFonts w:ascii="Times New Roman" w:hAnsi="Times New Roman"/>
              </w:rPr>
              <w:t xml:space="preserve">Rzeczpospolita </w:t>
            </w:r>
            <w:r w:rsidR="007D6A5E">
              <w:rPr>
                <w:rFonts w:ascii="Times New Roman" w:hAnsi="Times New Roman"/>
              </w:rPr>
              <w:t>Polska stanowi ewenement na arenie międzynarodowej, bowiem zgodnie z dostępnymi informacjami jest jedynym krajem, gdzie producenci leków innowacyjnych po włączeniu do refundacji systemowej zobowiązani są do redukcji ceny o 25% produktu w stosunku do którego upłynął okres wyłączności rynkowej, pomimo wciąż obowiązującej ochrony patentowej w zdecydowanej większości przypadków</w:t>
            </w:r>
            <w:r w:rsidR="00943626">
              <w:rPr>
                <w:rFonts w:ascii="Times New Roman" w:hAnsi="Times New Roman"/>
              </w:rPr>
              <w:t>.</w:t>
            </w:r>
            <w:r w:rsidR="00F464F7">
              <w:rPr>
                <w:rFonts w:ascii="Times New Roman" w:hAnsi="Times New Roman"/>
              </w:rPr>
              <w:t xml:space="preserve">  </w:t>
            </w:r>
            <w:r w:rsidR="00943626">
              <w:rPr>
                <w:rFonts w:ascii="Times New Roman" w:hAnsi="Times New Roman"/>
              </w:rPr>
              <w:t>P</w:t>
            </w:r>
            <w:r w:rsidR="007D6A5E">
              <w:rPr>
                <w:rFonts w:ascii="Times New Roman" w:hAnsi="Times New Roman"/>
              </w:rPr>
              <w:t xml:space="preserve">ierwotnym założeniem niniejszego mechanizmu było ustawowe zobligowanie producentów leków o niskim potencjale generycznym ze względu na swoją specyfikę (np. leki stosowane w chorobach rzadkich i </w:t>
            </w:r>
            <w:proofErr w:type="spellStart"/>
            <w:r w:rsidR="007D6A5E">
              <w:rPr>
                <w:rFonts w:ascii="Times New Roman" w:hAnsi="Times New Roman"/>
              </w:rPr>
              <w:t>ultrarzadkich</w:t>
            </w:r>
            <w:proofErr w:type="spellEnd"/>
            <w:r w:rsidR="007D6A5E">
              <w:rPr>
                <w:rFonts w:ascii="Times New Roman" w:hAnsi="Times New Roman"/>
              </w:rPr>
              <w:t>) do redukcji ceny po włączeniu do systemu refundacji, bowiem brak rejestracji produktów generycznych skutecznie hamuje generowanie dodatkowych oszczędności dla płatnika publicznego, tym samym obowiązywanie niniejszego mechanizmu gwarantowało wymierne dodatkowe oszczędności dla płatnika, które w przypadku wysokokosztowych terapii wykorzystywanych w chorobach rzadkich nominalnie stanowiły istotne kwoty</w:t>
            </w:r>
            <w:r w:rsidR="00FB52CA">
              <w:rPr>
                <w:rFonts w:ascii="Times New Roman" w:hAnsi="Times New Roman"/>
              </w:rPr>
              <w:t>.</w:t>
            </w:r>
            <w:r w:rsidR="00F464F7">
              <w:rPr>
                <w:rFonts w:ascii="Times New Roman" w:hAnsi="Times New Roman"/>
              </w:rPr>
              <w:t xml:space="preserve"> </w:t>
            </w:r>
            <w:r w:rsidR="00FB52CA">
              <w:rPr>
                <w:rFonts w:ascii="Times New Roman" w:hAnsi="Times New Roman"/>
              </w:rPr>
              <w:t>N</w:t>
            </w:r>
            <w:r w:rsidR="007D6A5E">
              <w:rPr>
                <w:rFonts w:ascii="Times New Roman" w:hAnsi="Times New Roman"/>
              </w:rPr>
              <w:t>iezależnie od powyższe</w:t>
            </w:r>
            <w:r w:rsidR="00FB52CA">
              <w:rPr>
                <w:rFonts w:ascii="Times New Roman" w:hAnsi="Times New Roman"/>
              </w:rPr>
              <w:t>go</w:t>
            </w:r>
            <w:r w:rsidR="007D6A5E">
              <w:rPr>
                <w:rFonts w:ascii="Times New Roman" w:hAnsi="Times New Roman"/>
              </w:rPr>
              <w:t>, funkcjonowanie niniejszego mechanizmu wielokrotnie było kwestionowane przez podmioty partycypujące w systemie przez wzgląd na fakt, iż co do zasady każdorazowo podczas odnowienia decyzji refundacyjnej warunki finansowania podlegają renegocjacjom, a redukcja ceny w ich trakcie nie jest uwzględniona w sytuacji gdy zaistnieje obowiązek redukcji ceny o 25% z powodu upływającej wyłączności rynkowej</w:t>
            </w:r>
            <w:r w:rsidR="00FB52CA">
              <w:rPr>
                <w:rFonts w:ascii="Times New Roman" w:hAnsi="Times New Roman"/>
              </w:rPr>
              <w:t>.</w:t>
            </w:r>
            <w:r w:rsidR="00F464F7">
              <w:rPr>
                <w:rFonts w:ascii="Times New Roman" w:hAnsi="Times New Roman"/>
              </w:rPr>
              <w:t xml:space="preserve"> </w:t>
            </w:r>
            <w:r w:rsidR="00A92B07">
              <w:rPr>
                <w:rFonts w:ascii="Times New Roman" w:hAnsi="Times New Roman"/>
              </w:rPr>
              <w:t>Z</w:t>
            </w:r>
            <w:r w:rsidR="007D6A5E">
              <w:rPr>
                <w:rFonts w:ascii="Times New Roman" w:hAnsi="Times New Roman"/>
              </w:rPr>
              <w:t xml:space="preserve"> tego względu, część podmiotów </w:t>
            </w:r>
            <w:r w:rsidR="00F464F7">
              <w:rPr>
                <w:rFonts w:ascii="Times New Roman" w:hAnsi="Times New Roman"/>
              </w:rPr>
              <w:t>odracza</w:t>
            </w:r>
            <w:r w:rsidR="007D6A5E">
              <w:rPr>
                <w:rFonts w:ascii="Times New Roman" w:hAnsi="Times New Roman"/>
              </w:rPr>
              <w:t xml:space="preserve"> wejście innowacyjnych terapii na polski rynek, co przekłada się na opóźnianie dostępu polskich pacjentów do nowych terapii</w:t>
            </w:r>
            <w:r w:rsidR="00A92B07">
              <w:rPr>
                <w:rFonts w:ascii="Times New Roman" w:hAnsi="Times New Roman"/>
              </w:rPr>
              <w:t>. K</w:t>
            </w:r>
            <w:bookmarkStart w:id="3" w:name="_Hlk188004170"/>
            <w:r w:rsidR="00416562">
              <w:rPr>
                <w:rFonts w:ascii="Times New Roman" w:hAnsi="Times New Roman"/>
              </w:rPr>
              <w:t xml:space="preserve">onieczność redukcji kosztów o 25% podyktowana </w:t>
            </w:r>
            <w:r w:rsidR="00A92B07">
              <w:rPr>
                <w:rFonts w:ascii="Times New Roman" w:hAnsi="Times New Roman"/>
              </w:rPr>
              <w:t xml:space="preserve">przepisami </w:t>
            </w:r>
            <w:r w:rsidR="00416562">
              <w:rPr>
                <w:rFonts w:ascii="Times New Roman" w:hAnsi="Times New Roman"/>
              </w:rPr>
              <w:t xml:space="preserve">ustawowymi miała miejsce w roku 2024 w przypadku </w:t>
            </w:r>
            <w:r w:rsidR="00E13B7D">
              <w:rPr>
                <w:rFonts w:ascii="Times New Roman" w:hAnsi="Times New Roman"/>
              </w:rPr>
              <w:t>ponad 30</w:t>
            </w:r>
            <w:r w:rsidR="00416562">
              <w:rPr>
                <w:rFonts w:ascii="Times New Roman" w:hAnsi="Times New Roman"/>
              </w:rPr>
              <w:t xml:space="preserve"> leków rozumianych jako indywidulane kody GTIN</w:t>
            </w:r>
            <w:r w:rsidR="00A92B07">
              <w:rPr>
                <w:rFonts w:ascii="Times New Roman" w:hAnsi="Times New Roman"/>
              </w:rPr>
              <w:t>. J</w:t>
            </w:r>
            <w:r w:rsidR="00416562">
              <w:rPr>
                <w:rFonts w:ascii="Times New Roman" w:hAnsi="Times New Roman"/>
              </w:rPr>
              <w:t xml:space="preserve">ednocześnie </w:t>
            </w:r>
            <w:r w:rsidR="0075650A">
              <w:rPr>
                <w:rFonts w:ascii="Times New Roman" w:hAnsi="Times New Roman"/>
              </w:rPr>
              <w:t>kwota</w:t>
            </w:r>
            <w:r w:rsidR="00416562">
              <w:rPr>
                <w:rFonts w:ascii="Times New Roman" w:hAnsi="Times New Roman"/>
              </w:rPr>
              <w:t xml:space="preserve"> refundacji tych leków w roku 2023 wyni</w:t>
            </w:r>
            <w:r w:rsidR="00E13B7D">
              <w:rPr>
                <w:rFonts w:ascii="Times New Roman" w:hAnsi="Times New Roman"/>
              </w:rPr>
              <w:t>osła ponad 872 mln zł;</w:t>
            </w:r>
            <w:r w:rsidR="00416562">
              <w:rPr>
                <w:rFonts w:ascii="Times New Roman" w:hAnsi="Times New Roman"/>
              </w:rPr>
              <w:t xml:space="preserve"> </w:t>
            </w:r>
            <w:r w:rsidR="00E13B7D">
              <w:rPr>
                <w:rFonts w:ascii="Times New Roman" w:hAnsi="Times New Roman"/>
              </w:rPr>
              <w:t xml:space="preserve">przy czym większość leków, które w 2024 r. obniżały cenę o 25% w ramach niniejszego mechanizmu, uwzględniając warunki finansowania z pierwszych decyzji o objęciu refundacją, wykazały łącznie większą redukcję niż 25 </w:t>
            </w:r>
            <w:proofErr w:type="spellStart"/>
            <w:r w:rsidR="00E13B7D">
              <w:rPr>
                <w:rFonts w:ascii="Times New Roman" w:hAnsi="Times New Roman"/>
              </w:rPr>
              <w:t>p.p</w:t>
            </w:r>
            <w:proofErr w:type="spellEnd"/>
            <w:r w:rsidR="00E13B7D">
              <w:rPr>
                <w:rFonts w:ascii="Times New Roman" w:hAnsi="Times New Roman"/>
              </w:rPr>
              <w:t>.</w:t>
            </w:r>
            <w:r w:rsidR="006C5882">
              <w:rPr>
                <w:rFonts w:ascii="Times New Roman" w:hAnsi="Times New Roman"/>
              </w:rPr>
              <w:t xml:space="preserve"> </w:t>
            </w:r>
            <w:r w:rsidR="00A92B07">
              <w:rPr>
                <w:rFonts w:ascii="Times New Roman" w:hAnsi="Times New Roman"/>
              </w:rPr>
              <w:t>D</w:t>
            </w:r>
            <w:r w:rsidR="00582E2E">
              <w:rPr>
                <w:rFonts w:ascii="Times New Roman" w:hAnsi="Times New Roman"/>
              </w:rPr>
              <w:t xml:space="preserve">odatkowo wnioskodawcy wskazywali na </w:t>
            </w:r>
            <w:r w:rsidR="005926BD">
              <w:rPr>
                <w:rFonts w:ascii="Times New Roman" w:hAnsi="Times New Roman"/>
              </w:rPr>
              <w:t xml:space="preserve">konieczność </w:t>
            </w:r>
            <w:r w:rsidR="00582E2E">
              <w:rPr>
                <w:rFonts w:ascii="Times New Roman" w:hAnsi="Times New Roman"/>
              </w:rPr>
              <w:t>precyzyjn</w:t>
            </w:r>
            <w:r w:rsidR="005926BD">
              <w:rPr>
                <w:rFonts w:ascii="Times New Roman" w:hAnsi="Times New Roman"/>
              </w:rPr>
              <w:t>ego</w:t>
            </w:r>
            <w:r w:rsidR="00582E2E">
              <w:rPr>
                <w:rFonts w:ascii="Times New Roman" w:hAnsi="Times New Roman"/>
              </w:rPr>
              <w:t xml:space="preserve"> zdefiniowania ceny efektywnej</w:t>
            </w:r>
            <w:r w:rsidR="00D94C75" w:rsidRPr="0095120B">
              <w:rPr>
                <w:rFonts w:ascii="Times New Roman" w:hAnsi="Times New Roman"/>
              </w:rPr>
              <w:t>;</w:t>
            </w:r>
            <w:bookmarkEnd w:id="3"/>
          </w:p>
          <w:p w14:paraId="340CBC90" w14:textId="5168BF04" w:rsidR="004663A3" w:rsidRPr="0095120B" w:rsidRDefault="00364B72" w:rsidP="004663A3">
            <w:pPr>
              <w:pStyle w:val="Akapitzlist"/>
              <w:numPr>
                <w:ilvl w:val="0"/>
                <w:numId w:val="38"/>
              </w:numPr>
              <w:jc w:val="both"/>
              <w:rPr>
                <w:rFonts w:ascii="Times New Roman" w:hAnsi="Times New Roman"/>
              </w:rPr>
            </w:pPr>
            <w:r w:rsidRPr="0095120B">
              <w:rPr>
                <w:rFonts w:ascii="Times New Roman" w:hAnsi="Times New Roman"/>
              </w:rPr>
              <w:t>brak pośredniej kategorii między</w:t>
            </w:r>
            <w:r w:rsidR="005B7B57">
              <w:rPr>
                <w:rFonts w:ascii="Times New Roman" w:hAnsi="Times New Roman"/>
              </w:rPr>
              <w:t xml:space="preserve"> kategorią dostępności refundacyjnej leków dostępnych w</w:t>
            </w:r>
            <w:r w:rsidRPr="0095120B">
              <w:rPr>
                <w:rFonts w:ascii="Times New Roman" w:hAnsi="Times New Roman"/>
              </w:rPr>
              <w:t xml:space="preserve"> apte</w:t>
            </w:r>
            <w:r w:rsidR="005B7B57">
              <w:rPr>
                <w:rFonts w:ascii="Times New Roman" w:hAnsi="Times New Roman"/>
              </w:rPr>
              <w:t>ce</w:t>
            </w:r>
            <w:r w:rsidR="00DC7F99">
              <w:rPr>
                <w:rFonts w:ascii="Times New Roman" w:hAnsi="Times New Roman"/>
              </w:rPr>
              <w:t>,</w:t>
            </w:r>
            <w:r w:rsidRPr="0095120B">
              <w:rPr>
                <w:rFonts w:ascii="Times New Roman" w:hAnsi="Times New Roman"/>
              </w:rPr>
              <w:t xml:space="preserve"> a </w:t>
            </w:r>
            <w:r w:rsidR="005B7B57">
              <w:rPr>
                <w:rFonts w:ascii="Times New Roman" w:hAnsi="Times New Roman"/>
              </w:rPr>
              <w:t xml:space="preserve">lekami dostępnymi w </w:t>
            </w:r>
            <w:r w:rsidRPr="0095120B">
              <w:rPr>
                <w:rFonts w:ascii="Times New Roman" w:hAnsi="Times New Roman"/>
              </w:rPr>
              <w:t>program</w:t>
            </w:r>
            <w:r w:rsidR="005B7B57">
              <w:rPr>
                <w:rFonts w:ascii="Times New Roman" w:hAnsi="Times New Roman"/>
              </w:rPr>
              <w:t>ie</w:t>
            </w:r>
            <w:r w:rsidRPr="0095120B">
              <w:rPr>
                <w:rFonts w:ascii="Times New Roman" w:hAnsi="Times New Roman"/>
              </w:rPr>
              <w:t xml:space="preserve"> lekowym, jaką w przypadku leków onkologicznych jest chemioterapia</w:t>
            </w:r>
            <w:r w:rsidR="00A92B07">
              <w:rPr>
                <w:rFonts w:ascii="Times New Roman" w:hAnsi="Times New Roman"/>
              </w:rPr>
              <w:t>. W</w:t>
            </w:r>
            <w:r w:rsidRPr="0095120B">
              <w:rPr>
                <w:rFonts w:ascii="Times New Roman" w:hAnsi="Times New Roman"/>
              </w:rPr>
              <w:t xml:space="preserve"> związku z powyższym w ramach programów lekowych utrzymywane są terapie </w:t>
            </w:r>
            <w:r w:rsidR="00DC7F99">
              <w:rPr>
                <w:rFonts w:ascii="Times New Roman" w:hAnsi="Times New Roman"/>
              </w:rPr>
              <w:t>„</w:t>
            </w:r>
            <w:proofErr w:type="spellStart"/>
            <w:r w:rsidRPr="0095120B">
              <w:rPr>
                <w:rFonts w:ascii="Times New Roman" w:hAnsi="Times New Roman"/>
              </w:rPr>
              <w:t>zgeneryzowane</w:t>
            </w:r>
            <w:proofErr w:type="spellEnd"/>
            <w:r w:rsidR="00DC7F99">
              <w:rPr>
                <w:rFonts w:ascii="Times New Roman" w:hAnsi="Times New Roman"/>
              </w:rPr>
              <w:t>”</w:t>
            </w:r>
            <w:r w:rsidRPr="0095120B">
              <w:rPr>
                <w:rFonts w:ascii="Times New Roman" w:hAnsi="Times New Roman"/>
              </w:rPr>
              <w:t>, które w ramach tej kategorii dostępności refundacyjnej powodują zwiększone koszty w ramach udzielanego świadczenia przez szpitale</w:t>
            </w:r>
            <w:r w:rsidR="00A92B07">
              <w:rPr>
                <w:rFonts w:ascii="Times New Roman" w:hAnsi="Times New Roman"/>
              </w:rPr>
              <w:t>.</w:t>
            </w:r>
            <w:r w:rsidRPr="0095120B">
              <w:rPr>
                <w:rFonts w:ascii="Times New Roman" w:hAnsi="Times New Roman"/>
              </w:rPr>
              <w:t xml:space="preserve"> </w:t>
            </w:r>
            <w:r w:rsidR="00A92B07">
              <w:rPr>
                <w:rFonts w:ascii="Times New Roman" w:hAnsi="Times New Roman"/>
              </w:rPr>
              <w:t>T</w:t>
            </w:r>
            <w:r w:rsidRPr="0095120B">
              <w:rPr>
                <w:rFonts w:ascii="Times New Roman" w:hAnsi="Times New Roman"/>
              </w:rPr>
              <w:t xml:space="preserve">akie </w:t>
            </w:r>
            <w:r w:rsidR="005A0A7F" w:rsidRPr="0095120B">
              <w:rPr>
                <w:rFonts w:ascii="Times New Roman" w:hAnsi="Times New Roman"/>
              </w:rPr>
              <w:t>leki</w:t>
            </w:r>
            <w:r w:rsidRPr="0095120B">
              <w:rPr>
                <w:rFonts w:ascii="Times New Roman" w:hAnsi="Times New Roman"/>
              </w:rPr>
              <w:t xml:space="preserve"> nie powinny być dostępne w aptece w ramach refundacji, ze względu na </w:t>
            </w:r>
            <w:r w:rsidR="00F464F7">
              <w:rPr>
                <w:rFonts w:ascii="Times New Roman" w:hAnsi="Times New Roman"/>
              </w:rPr>
              <w:t>ich specyfikę czy relatywnie wysokie koszty w stosunku do terapii finansowanych w ramach dostępności aptecznej</w:t>
            </w:r>
            <w:r w:rsidR="00A92B07">
              <w:rPr>
                <w:rFonts w:ascii="Times New Roman" w:hAnsi="Times New Roman"/>
              </w:rPr>
              <w:t>.</w:t>
            </w:r>
            <w:r w:rsidR="00F464F7">
              <w:rPr>
                <w:rFonts w:ascii="Times New Roman" w:hAnsi="Times New Roman"/>
              </w:rPr>
              <w:t xml:space="preserve"> </w:t>
            </w:r>
            <w:r w:rsidR="00A92B07">
              <w:rPr>
                <w:rFonts w:ascii="Times New Roman" w:hAnsi="Times New Roman"/>
              </w:rPr>
              <w:t>W</w:t>
            </w:r>
            <w:r w:rsidR="00F464F7">
              <w:rPr>
                <w:rFonts w:ascii="Times New Roman" w:hAnsi="Times New Roman"/>
              </w:rPr>
              <w:t xml:space="preserve"> rezultacie brak pośredniej kategorii dedykowanej lekom nieonkologicznym powoduje, że w przypadku części terapii o szerokim zastosowaniu w różnych jednostkach chorobowych ogranicza się ich dostęp wyłącznie do ośrodków kontraktujących dany program lekowy, podczas gdy przez wzgląd na </w:t>
            </w:r>
            <w:r w:rsidR="00284871">
              <w:rPr>
                <w:rFonts w:ascii="Times New Roman" w:hAnsi="Times New Roman"/>
              </w:rPr>
              <w:t>sposób podania (np. formy podskórne) i stosunkowo niewysokie koszty, terapie te mogłyby z powodzeniem być finansowane poza restrykcyjnym programem lekowym</w:t>
            </w:r>
            <w:r w:rsidR="00A92B07">
              <w:rPr>
                <w:rFonts w:ascii="Times New Roman" w:hAnsi="Times New Roman"/>
              </w:rPr>
              <w:t>. T</w:t>
            </w:r>
            <w:r w:rsidR="00284871">
              <w:rPr>
                <w:rFonts w:ascii="Times New Roman" w:hAnsi="Times New Roman"/>
              </w:rPr>
              <w:t>aka sytuacja dotyczy w szczególności leków stosowanych m.in. w dermatologii, reumatologii, gastroenterologii, neurologii</w:t>
            </w:r>
            <w:r w:rsidR="00A92B07">
              <w:rPr>
                <w:rFonts w:ascii="Times New Roman" w:hAnsi="Times New Roman"/>
              </w:rPr>
              <w:t>.</w:t>
            </w:r>
            <w:r w:rsidR="00284871">
              <w:rPr>
                <w:rFonts w:ascii="Times New Roman" w:hAnsi="Times New Roman"/>
              </w:rPr>
              <w:t xml:space="preserve"> </w:t>
            </w:r>
            <w:r w:rsidR="00A92B07">
              <w:rPr>
                <w:rFonts w:ascii="Times New Roman" w:hAnsi="Times New Roman"/>
              </w:rPr>
              <w:t>O</w:t>
            </w:r>
            <w:r w:rsidR="00284871">
              <w:rPr>
                <w:rFonts w:ascii="Times New Roman" w:hAnsi="Times New Roman"/>
              </w:rPr>
              <w:t xml:space="preserve">becnie koszty </w:t>
            </w:r>
            <w:proofErr w:type="spellStart"/>
            <w:r w:rsidR="00284871">
              <w:rPr>
                <w:rFonts w:ascii="Times New Roman" w:hAnsi="Times New Roman"/>
              </w:rPr>
              <w:t>nielekowe</w:t>
            </w:r>
            <w:proofErr w:type="spellEnd"/>
            <w:r w:rsidR="00284871">
              <w:rPr>
                <w:rFonts w:ascii="Times New Roman" w:hAnsi="Times New Roman"/>
              </w:rPr>
              <w:t xml:space="preserve"> związane z prowadzeniem terapii pacjenta takimi lekami w ramach programu lekowego bywają znaczące, a nawet wyższe od kosztów samego leczenia</w:t>
            </w:r>
            <w:r w:rsidR="00A92B07">
              <w:rPr>
                <w:rFonts w:ascii="Times New Roman" w:hAnsi="Times New Roman"/>
              </w:rPr>
              <w:t>;</w:t>
            </w:r>
          </w:p>
          <w:p w14:paraId="355B4DCB" w14:textId="7403E80D" w:rsidR="004663A3" w:rsidRPr="0095120B" w:rsidRDefault="0089690C" w:rsidP="004663A3">
            <w:pPr>
              <w:pStyle w:val="Akapitzlist"/>
              <w:numPr>
                <w:ilvl w:val="0"/>
                <w:numId w:val="38"/>
              </w:numPr>
              <w:jc w:val="both"/>
              <w:rPr>
                <w:rFonts w:ascii="Times New Roman" w:hAnsi="Times New Roman"/>
              </w:rPr>
            </w:pPr>
            <w:r w:rsidRPr="0095120B">
              <w:rPr>
                <w:rFonts w:ascii="Times New Roman" w:hAnsi="Times New Roman"/>
              </w:rPr>
              <w:t>istnienie w systemie refundacyjnym tożsamych wymagań prawnych</w:t>
            </w:r>
            <w:r w:rsidR="005B7B57">
              <w:rPr>
                <w:rFonts w:ascii="Times New Roman" w:hAnsi="Times New Roman"/>
              </w:rPr>
              <w:t>,</w:t>
            </w:r>
            <w:r w:rsidR="003C1A17" w:rsidRPr="0095120B">
              <w:rPr>
                <w:rFonts w:ascii="Times New Roman" w:hAnsi="Times New Roman"/>
              </w:rPr>
              <w:t xml:space="preserve"> </w:t>
            </w:r>
            <w:r w:rsidRPr="0095120B">
              <w:rPr>
                <w:rFonts w:ascii="Times New Roman" w:hAnsi="Times New Roman"/>
              </w:rPr>
              <w:t xml:space="preserve">bez </w:t>
            </w:r>
            <w:r w:rsidR="003C1A17" w:rsidRPr="0095120B">
              <w:rPr>
                <w:rFonts w:ascii="Times New Roman" w:hAnsi="Times New Roman"/>
              </w:rPr>
              <w:t>ich zróżnicowania</w:t>
            </w:r>
            <w:r w:rsidRPr="0095120B">
              <w:rPr>
                <w:rFonts w:ascii="Times New Roman" w:hAnsi="Times New Roman"/>
              </w:rPr>
              <w:t xml:space="preserve"> </w:t>
            </w:r>
            <w:r w:rsidR="003C1A17" w:rsidRPr="0095120B">
              <w:rPr>
                <w:rFonts w:ascii="Times New Roman" w:hAnsi="Times New Roman"/>
              </w:rPr>
              <w:t xml:space="preserve">przez wzgląd </w:t>
            </w:r>
            <w:r w:rsidRPr="0095120B">
              <w:rPr>
                <w:rFonts w:ascii="Times New Roman" w:hAnsi="Times New Roman"/>
              </w:rPr>
              <w:t>na to, czy refundowany ma być lek stosowany w chorobie rzadkiej, czy w innego rodzaju schorzeniu</w:t>
            </w:r>
            <w:r w:rsidR="00A92B07">
              <w:rPr>
                <w:rFonts w:ascii="Times New Roman" w:hAnsi="Times New Roman"/>
              </w:rPr>
              <w:t>.</w:t>
            </w:r>
            <w:r w:rsidR="003C1A17" w:rsidRPr="0095120B">
              <w:rPr>
                <w:rFonts w:ascii="Times New Roman" w:hAnsi="Times New Roman"/>
              </w:rPr>
              <w:t xml:space="preserve"> </w:t>
            </w:r>
            <w:r w:rsidR="00A92B07">
              <w:rPr>
                <w:rFonts w:ascii="Times New Roman" w:hAnsi="Times New Roman"/>
              </w:rPr>
              <w:t>S</w:t>
            </w:r>
            <w:r w:rsidR="003C1A17" w:rsidRPr="0095120B">
              <w:rPr>
                <w:rFonts w:ascii="Times New Roman" w:hAnsi="Times New Roman"/>
              </w:rPr>
              <w:t>tan</w:t>
            </w:r>
            <w:r w:rsidRPr="0095120B">
              <w:rPr>
                <w:rFonts w:ascii="Times New Roman" w:hAnsi="Times New Roman"/>
              </w:rPr>
              <w:t xml:space="preserve"> </w:t>
            </w:r>
            <w:r w:rsidR="003C1A17" w:rsidRPr="0095120B">
              <w:rPr>
                <w:rFonts w:ascii="Times New Roman" w:hAnsi="Times New Roman"/>
              </w:rPr>
              <w:t xml:space="preserve">ten </w:t>
            </w:r>
            <w:r w:rsidRPr="0095120B">
              <w:rPr>
                <w:rFonts w:ascii="Times New Roman" w:hAnsi="Times New Roman"/>
              </w:rPr>
              <w:t>nie jest właściw</w:t>
            </w:r>
            <w:r w:rsidR="003C1A17" w:rsidRPr="0095120B">
              <w:rPr>
                <w:rFonts w:ascii="Times New Roman" w:hAnsi="Times New Roman"/>
              </w:rPr>
              <w:t>y</w:t>
            </w:r>
            <w:r w:rsidRPr="0095120B">
              <w:rPr>
                <w:rFonts w:ascii="Times New Roman" w:hAnsi="Times New Roman"/>
              </w:rPr>
              <w:t xml:space="preserve"> w kontekście tego, że w odniesieniu do leków stosowanych w chorobach rzadkich obiektywnie nie mogą być </w:t>
            </w:r>
            <w:r w:rsidR="003C1A17" w:rsidRPr="0095120B">
              <w:rPr>
                <w:rFonts w:ascii="Times New Roman" w:hAnsi="Times New Roman"/>
              </w:rPr>
              <w:t>spełnione niektóre wymagania formalne (np. analityczne, dokumentacyjne), w przeciwieństwie do</w:t>
            </w:r>
            <w:r w:rsidR="005A0A7F" w:rsidRPr="0095120B">
              <w:rPr>
                <w:rFonts w:ascii="Times New Roman" w:hAnsi="Times New Roman"/>
              </w:rPr>
              <w:t> </w:t>
            </w:r>
            <w:r w:rsidR="003C1A17" w:rsidRPr="0095120B">
              <w:rPr>
                <w:rFonts w:ascii="Times New Roman" w:hAnsi="Times New Roman"/>
              </w:rPr>
              <w:t>większości innych leków, co jest związane z tym, że w chorobach rzadkich populacje są często zbyt mało liczebne;</w:t>
            </w:r>
          </w:p>
          <w:p w14:paraId="12EEDEE2" w14:textId="34C19770" w:rsidR="00432491" w:rsidRPr="00AB7441" w:rsidRDefault="00722023" w:rsidP="00432491">
            <w:pPr>
              <w:pStyle w:val="Akapitzlist"/>
              <w:numPr>
                <w:ilvl w:val="0"/>
                <w:numId w:val="38"/>
              </w:numPr>
              <w:jc w:val="both"/>
              <w:rPr>
                <w:rFonts w:ascii="Times New Roman" w:hAnsi="Times New Roman"/>
              </w:rPr>
            </w:pPr>
            <w:r>
              <w:rPr>
                <w:rFonts w:ascii="Times New Roman" w:hAnsi="Times New Roman"/>
              </w:rPr>
              <w:t>zaobserwowa</w:t>
            </w:r>
            <w:r w:rsidR="00A92B07">
              <w:rPr>
                <w:rFonts w:ascii="Times New Roman" w:hAnsi="Times New Roman"/>
              </w:rPr>
              <w:t>no</w:t>
            </w:r>
            <w:r>
              <w:rPr>
                <w:rFonts w:ascii="Times New Roman" w:hAnsi="Times New Roman"/>
              </w:rPr>
              <w:t xml:space="preserve"> </w:t>
            </w:r>
            <w:r w:rsidR="002845B7">
              <w:rPr>
                <w:rFonts w:ascii="Times New Roman" w:hAnsi="Times New Roman"/>
              </w:rPr>
              <w:t xml:space="preserve">zbyt </w:t>
            </w:r>
            <w:r w:rsidR="00A937E8" w:rsidRPr="0095120B">
              <w:rPr>
                <w:rFonts w:ascii="Times New Roman" w:hAnsi="Times New Roman"/>
              </w:rPr>
              <w:t xml:space="preserve">niski </w:t>
            </w:r>
            <w:r w:rsidR="002845B7">
              <w:rPr>
                <w:rFonts w:ascii="Times New Roman" w:hAnsi="Times New Roman"/>
              </w:rPr>
              <w:t xml:space="preserve">poziom aktywności </w:t>
            </w:r>
            <w:r w:rsidR="00337236" w:rsidRPr="0095120B">
              <w:rPr>
                <w:rFonts w:ascii="Times New Roman" w:hAnsi="Times New Roman"/>
              </w:rPr>
              <w:t xml:space="preserve">organizacji </w:t>
            </w:r>
            <w:r w:rsidR="00A937E8" w:rsidRPr="0095120B">
              <w:rPr>
                <w:rFonts w:ascii="Times New Roman" w:hAnsi="Times New Roman"/>
              </w:rPr>
              <w:t xml:space="preserve">pacjentów w </w:t>
            </w:r>
            <w:r w:rsidR="002845B7">
              <w:rPr>
                <w:rFonts w:ascii="Times New Roman" w:hAnsi="Times New Roman"/>
              </w:rPr>
              <w:t xml:space="preserve">działaniach związanych z </w:t>
            </w:r>
            <w:r w:rsidR="00A937E8" w:rsidRPr="0095120B">
              <w:rPr>
                <w:rFonts w:ascii="Times New Roman" w:hAnsi="Times New Roman"/>
              </w:rPr>
              <w:t>refundac</w:t>
            </w:r>
            <w:r w:rsidR="002845B7">
              <w:rPr>
                <w:rFonts w:ascii="Times New Roman" w:hAnsi="Times New Roman"/>
              </w:rPr>
              <w:t>ją</w:t>
            </w:r>
            <w:r w:rsidR="00A937E8" w:rsidRPr="0095120B">
              <w:rPr>
                <w:rFonts w:ascii="Times New Roman" w:hAnsi="Times New Roman"/>
              </w:rPr>
              <w:t xml:space="preserve">, </w:t>
            </w:r>
            <w:r>
              <w:rPr>
                <w:rFonts w:ascii="Times New Roman" w:hAnsi="Times New Roman"/>
              </w:rPr>
              <w:t xml:space="preserve">czego skutkiem jest </w:t>
            </w:r>
            <w:r w:rsidR="002845B7">
              <w:rPr>
                <w:rFonts w:ascii="Times New Roman" w:hAnsi="Times New Roman"/>
              </w:rPr>
              <w:t>brak elementarnej wiedzy</w:t>
            </w:r>
            <w:r>
              <w:rPr>
                <w:rFonts w:ascii="Times New Roman" w:hAnsi="Times New Roman"/>
              </w:rPr>
              <w:t xml:space="preserve"> świadczeniobiorców</w:t>
            </w:r>
            <w:r w:rsidR="002845B7" w:rsidRPr="0095120B">
              <w:rPr>
                <w:rFonts w:ascii="Times New Roman" w:hAnsi="Times New Roman"/>
              </w:rPr>
              <w:t xml:space="preserve"> </w:t>
            </w:r>
            <w:r w:rsidR="002845B7">
              <w:rPr>
                <w:rFonts w:ascii="Times New Roman" w:hAnsi="Times New Roman"/>
              </w:rPr>
              <w:t>na temat zasad</w:t>
            </w:r>
            <w:r w:rsidR="00A937E8" w:rsidRPr="0095120B">
              <w:rPr>
                <w:rFonts w:ascii="Times New Roman" w:hAnsi="Times New Roman"/>
              </w:rPr>
              <w:t xml:space="preserve"> funkcjonowania systemu refundacyjnego i podejmowania decyzji o objęciu refundacją przez </w:t>
            </w:r>
            <w:r w:rsidR="00D90E75" w:rsidRPr="0095120B">
              <w:rPr>
                <w:rFonts w:ascii="Times New Roman" w:hAnsi="Times New Roman"/>
              </w:rPr>
              <w:t>Ministra Zdrowia</w:t>
            </w:r>
            <w:r w:rsidR="00D94C75" w:rsidRPr="0095120B">
              <w:rPr>
                <w:rFonts w:ascii="Times New Roman" w:hAnsi="Times New Roman"/>
              </w:rPr>
              <w:t>;</w:t>
            </w:r>
          </w:p>
          <w:p w14:paraId="73F62DFA" w14:textId="7BFB1C5D" w:rsidR="003C1A17" w:rsidRPr="0095120B" w:rsidRDefault="00DE6C01" w:rsidP="004663A3">
            <w:pPr>
              <w:pStyle w:val="Akapitzlist"/>
              <w:numPr>
                <w:ilvl w:val="0"/>
                <w:numId w:val="38"/>
              </w:numPr>
              <w:jc w:val="both"/>
              <w:rPr>
                <w:rFonts w:ascii="Times New Roman" w:hAnsi="Times New Roman"/>
              </w:rPr>
            </w:pPr>
            <w:r w:rsidRPr="0095120B">
              <w:rPr>
                <w:rFonts w:ascii="Times New Roman" w:hAnsi="Times New Roman"/>
              </w:rPr>
              <w:t>nieoptymalne</w:t>
            </w:r>
            <w:r w:rsidR="00A937E8" w:rsidRPr="0095120B">
              <w:rPr>
                <w:rFonts w:ascii="Times New Roman" w:hAnsi="Times New Roman"/>
              </w:rPr>
              <w:t xml:space="preserve"> funkcjonowanie Komisji Ekonomicznej </w:t>
            </w:r>
            <w:r w:rsidRPr="0095120B">
              <w:rPr>
                <w:rFonts w:ascii="Times New Roman" w:hAnsi="Times New Roman"/>
              </w:rPr>
              <w:t xml:space="preserve">od strony organizacyjnej jej działania </w:t>
            </w:r>
            <w:r w:rsidR="00A937E8" w:rsidRPr="0095120B">
              <w:rPr>
                <w:rFonts w:ascii="Times New Roman" w:hAnsi="Times New Roman"/>
              </w:rPr>
              <w:t>i prowadzonych przez nią negocjacji cenowych</w:t>
            </w:r>
            <w:r w:rsidR="003C1A17" w:rsidRPr="0095120B">
              <w:rPr>
                <w:rFonts w:ascii="Times New Roman" w:hAnsi="Times New Roman"/>
              </w:rPr>
              <w:t>, przejawiające się w tym, że:</w:t>
            </w:r>
          </w:p>
          <w:p w14:paraId="72538D09" w14:textId="59A317C5" w:rsidR="003C1A17" w:rsidRPr="0095120B" w:rsidRDefault="003C1A17" w:rsidP="003C1A17">
            <w:pPr>
              <w:pStyle w:val="Akapitzlist"/>
              <w:numPr>
                <w:ilvl w:val="0"/>
                <w:numId w:val="45"/>
              </w:numPr>
              <w:jc w:val="both"/>
              <w:rPr>
                <w:rFonts w:ascii="Times New Roman" w:hAnsi="Times New Roman"/>
              </w:rPr>
            </w:pPr>
            <w:r w:rsidRPr="0095120B">
              <w:rPr>
                <w:rFonts w:ascii="Times New Roman" w:hAnsi="Times New Roman"/>
              </w:rPr>
              <w:t>o</w:t>
            </w:r>
            <w:r w:rsidR="003213EF" w:rsidRPr="0095120B">
              <w:rPr>
                <w:rFonts w:ascii="Times New Roman" w:hAnsi="Times New Roman"/>
              </w:rPr>
              <w:t xml:space="preserve">becnie Komisja Ekonomiczna nie ma możliwości </w:t>
            </w:r>
            <w:r w:rsidR="00AB274C" w:rsidRPr="0095120B">
              <w:rPr>
                <w:rFonts w:ascii="Times New Roman" w:hAnsi="Times New Roman"/>
              </w:rPr>
              <w:t>negocjowania wielkości dostaw</w:t>
            </w:r>
            <w:r w:rsidR="00DE6C01" w:rsidRPr="0095120B">
              <w:rPr>
                <w:rFonts w:ascii="Times New Roman" w:hAnsi="Times New Roman"/>
              </w:rPr>
              <w:t xml:space="preserve"> leków na rynek</w:t>
            </w:r>
            <w:r w:rsidR="00AB274C" w:rsidRPr="0095120B">
              <w:rPr>
                <w:rFonts w:ascii="Times New Roman" w:hAnsi="Times New Roman"/>
              </w:rPr>
              <w:t>,</w:t>
            </w:r>
            <w:r w:rsidRPr="0095120B">
              <w:rPr>
                <w:rFonts w:ascii="Times New Roman" w:hAnsi="Times New Roman"/>
              </w:rPr>
              <w:t xml:space="preserve"> </w:t>
            </w:r>
            <w:r w:rsidR="00DE6C01" w:rsidRPr="0095120B">
              <w:rPr>
                <w:rFonts w:ascii="Times New Roman" w:hAnsi="Times New Roman"/>
              </w:rPr>
              <w:t>podczas gdy</w:t>
            </w:r>
            <w:r w:rsidRPr="0095120B">
              <w:rPr>
                <w:rFonts w:ascii="Times New Roman" w:hAnsi="Times New Roman"/>
              </w:rPr>
              <w:t xml:space="preserve"> powinna ją posiadać,</w:t>
            </w:r>
          </w:p>
          <w:p w14:paraId="2FBFBD30" w14:textId="101AB1BB" w:rsidR="003C1A17" w:rsidRPr="0095120B" w:rsidRDefault="003C1A17" w:rsidP="003C1A17">
            <w:pPr>
              <w:pStyle w:val="Akapitzlist"/>
              <w:numPr>
                <w:ilvl w:val="0"/>
                <w:numId w:val="45"/>
              </w:numPr>
              <w:jc w:val="both"/>
              <w:rPr>
                <w:rFonts w:ascii="Times New Roman" w:hAnsi="Times New Roman"/>
              </w:rPr>
            </w:pPr>
            <w:r w:rsidRPr="0095120B">
              <w:rPr>
                <w:rFonts w:ascii="Times New Roman" w:hAnsi="Times New Roman"/>
              </w:rPr>
              <w:t xml:space="preserve">istnieje wymóg udziału w każdym </w:t>
            </w:r>
            <w:r w:rsidR="00AB274C" w:rsidRPr="0095120B">
              <w:rPr>
                <w:rFonts w:ascii="Times New Roman" w:hAnsi="Times New Roman"/>
              </w:rPr>
              <w:t>zespole negocjacyjnym przedstawiciel</w:t>
            </w:r>
            <w:r w:rsidRPr="0095120B">
              <w:rPr>
                <w:rFonts w:ascii="Times New Roman" w:hAnsi="Times New Roman"/>
              </w:rPr>
              <w:t>a</w:t>
            </w:r>
            <w:r w:rsidR="00AB274C" w:rsidRPr="0095120B">
              <w:rPr>
                <w:rFonts w:ascii="Times New Roman" w:hAnsi="Times New Roman"/>
              </w:rPr>
              <w:t xml:space="preserve"> Prezesa Narodowego Funduszu Zdrowia</w:t>
            </w:r>
            <w:r w:rsidR="00EF1692" w:rsidRPr="0095120B">
              <w:rPr>
                <w:rFonts w:ascii="Times New Roman" w:hAnsi="Times New Roman"/>
              </w:rPr>
              <w:t xml:space="preserve"> (NFZ)</w:t>
            </w:r>
            <w:r w:rsidR="00AB274C" w:rsidRPr="0095120B">
              <w:rPr>
                <w:rFonts w:ascii="Times New Roman" w:hAnsi="Times New Roman"/>
              </w:rPr>
              <w:t xml:space="preserve">, co przy </w:t>
            </w:r>
            <w:r w:rsidR="00EF1692" w:rsidRPr="0095120B">
              <w:rPr>
                <w:rFonts w:ascii="Times New Roman" w:hAnsi="Times New Roman"/>
              </w:rPr>
              <w:t xml:space="preserve">wzajemnej </w:t>
            </w:r>
            <w:r w:rsidR="00AB274C" w:rsidRPr="0095120B">
              <w:rPr>
                <w:rFonts w:ascii="Times New Roman" w:hAnsi="Times New Roman"/>
              </w:rPr>
              <w:t xml:space="preserve">dysproporcji </w:t>
            </w:r>
            <w:r w:rsidR="00EF1692" w:rsidRPr="0095120B">
              <w:rPr>
                <w:rFonts w:ascii="Times New Roman" w:hAnsi="Times New Roman"/>
              </w:rPr>
              <w:t>wymaganej liczby tych przedstawicieli w Komisji Ekonomicznej (formalnie sześciu) w stosunku do liczby przedstawicieli Ministra Zdrowia (formalnie czternastu), powoduje</w:t>
            </w:r>
            <w:r w:rsidR="00AB274C" w:rsidRPr="0095120B">
              <w:rPr>
                <w:rFonts w:ascii="Times New Roman" w:hAnsi="Times New Roman"/>
              </w:rPr>
              <w:t xml:space="preserve"> liczne </w:t>
            </w:r>
            <w:r w:rsidRPr="0095120B">
              <w:rPr>
                <w:rFonts w:ascii="Times New Roman" w:hAnsi="Times New Roman"/>
              </w:rPr>
              <w:t>problemy natury organizacyjnej</w:t>
            </w:r>
            <w:r w:rsidR="00EF1692" w:rsidRPr="0095120B">
              <w:rPr>
                <w:rFonts w:ascii="Times New Roman" w:hAnsi="Times New Roman"/>
              </w:rPr>
              <w:t xml:space="preserve"> w tej Komisji</w:t>
            </w:r>
            <w:r w:rsidR="00005068">
              <w:rPr>
                <w:rFonts w:ascii="Times New Roman" w:hAnsi="Times New Roman"/>
              </w:rPr>
              <w:t xml:space="preserve"> przy wyznaczaniu składów zespołów negocjacyjnych</w:t>
            </w:r>
            <w:r w:rsidR="00DC7F99">
              <w:rPr>
                <w:rFonts w:ascii="Times New Roman" w:hAnsi="Times New Roman"/>
              </w:rPr>
              <w:t>,</w:t>
            </w:r>
          </w:p>
          <w:p w14:paraId="7E99DD06" w14:textId="5C2AE1F6" w:rsidR="004663A3" w:rsidRPr="0095120B" w:rsidRDefault="00EF1692" w:rsidP="003C1A17">
            <w:pPr>
              <w:pStyle w:val="Akapitzlist"/>
              <w:numPr>
                <w:ilvl w:val="0"/>
                <w:numId w:val="45"/>
              </w:numPr>
              <w:jc w:val="both"/>
              <w:rPr>
                <w:rFonts w:ascii="Times New Roman" w:hAnsi="Times New Roman"/>
              </w:rPr>
            </w:pPr>
            <w:r w:rsidRPr="0095120B">
              <w:rPr>
                <w:rFonts w:ascii="Times New Roman" w:hAnsi="Times New Roman"/>
              </w:rPr>
              <w:t>istnieje</w:t>
            </w:r>
            <w:r w:rsidR="00AB274C" w:rsidRPr="0095120B">
              <w:rPr>
                <w:rFonts w:ascii="Times New Roman" w:hAnsi="Times New Roman"/>
              </w:rPr>
              <w:t xml:space="preserve"> dysproporcja </w:t>
            </w:r>
            <w:r w:rsidRPr="0095120B">
              <w:rPr>
                <w:rFonts w:ascii="Times New Roman" w:hAnsi="Times New Roman"/>
              </w:rPr>
              <w:t xml:space="preserve">pomiędzy </w:t>
            </w:r>
            <w:r w:rsidR="00AB274C" w:rsidRPr="0095120B">
              <w:rPr>
                <w:rFonts w:ascii="Times New Roman" w:hAnsi="Times New Roman"/>
              </w:rPr>
              <w:t>liczb</w:t>
            </w:r>
            <w:r w:rsidRPr="0095120B">
              <w:rPr>
                <w:rFonts w:ascii="Times New Roman" w:hAnsi="Times New Roman"/>
              </w:rPr>
              <w:t>ą</w:t>
            </w:r>
            <w:r w:rsidR="00AB274C" w:rsidRPr="0095120B">
              <w:rPr>
                <w:rFonts w:ascii="Times New Roman" w:hAnsi="Times New Roman"/>
              </w:rPr>
              <w:t xml:space="preserve"> </w:t>
            </w:r>
            <w:r w:rsidRPr="0095120B">
              <w:rPr>
                <w:rFonts w:ascii="Times New Roman" w:hAnsi="Times New Roman"/>
              </w:rPr>
              <w:t>członków</w:t>
            </w:r>
            <w:r w:rsidR="00AB274C" w:rsidRPr="0095120B">
              <w:rPr>
                <w:rFonts w:ascii="Times New Roman" w:hAnsi="Times New Roman"/>
              </w:rPr>
              <w:t xml:space="preserve"> Komisji Ekonomicznej </w:t>
            </w:r>
            <w:r w:rsidRPr="0095120B">
              <w:rPr>
                <w:rFonts w:ascii="Times New Roman" w:hAnsi="Times New Roman"/>
              </w:rPr>
              <w:t>w stosunku do</w:t>
            </w:r>
            <w:r w:rsidR="00AB274C" w:rsidRPr="0095120B">
              <w:rPr>
                <w:rFonts w:ascii="Times New Roman" w:hAnsi="Times New Roman"/>
              </w:rPr>
              <w:t xml:space="preserve"> </w:t>
            </w:r>
            <w:r w:rsidRPr="0095120B">
              <w:rPr>
                <w:rFonts w:ascii="Times New Roman" w:hAnsi="Times New Roman"/>
              </w:rPr>
              <w:t xml:space="preserve">potencjalnej </w:t>
            </w:r>
            <w:r w:rsidR="00AB274C" w:rsidRPr="0095120B">
              <w:rPr>
                <w:rFonts w:ascii="Times New Roman" w:hAnsi="Times New Roman"/>
              </w:rPr>
              <w:t>liczby pełnomocników wnioskodawcy w czasie spotkań negocjacyjnych</w:t>
            </w:r>
            <w:r w:rsidR="00D94C75" w:rsidRPr="0095120B">
              <w:rPr>
                <w:rFonts w:ascii="Times New Roman" w:hAnsi="Times New Roman"/>
              </w:rPr>
              <w:t>;</w:t>
            </w:r>
            <w:r w:rsidR="00D94C75" w:rsidRPr="0095120B" w:rsidDel="00D94C75">
              <w:rPr>
                <w:rFonts w:ascii="Times New Roman" w:hAnsi="Times New Roman"/>
              </w:rPr>
              <w:t xml:space="preserve"> </w:t>
            </w:r>
          </w:p>
          <w:p w14:paraId="6C37E55E" w14:textId="1CA30BF6" w:rsidR="004663A3" w:rsidRPr="0095120B" w:rsidRDefault="00AB274C" w:rsidP="004663A3">
            <w:pPr>
              <w:pStyle w:val="Akapitzlist"/>
              <w:numPr>
                <w:ilvl w:val="0"/>
                <w:numId w:val="38"/>
              </w:numPr>
              <w:jc w:val="both"/>
              <w:rPr>
                <w:rFonts w:ascii="Times New Roman" w:hAnsi="Times New Roman"/>
              </w:rPr>
            </w:pPr>
            <w:r w:rsidRPr="0095120B">
              <w:rPr>
                <w:rFonts w:ascii="Times New Roman" w:hAnsi="Times New Roman"/>
              </w:rPr>
              <w:t xml:space="preserve">brak dostępności nowych </w:t>
            </w:r>
            <w:r w:rsidR="005A0A7F" w:rsidRPr="0095120B">
              <w:rPr>
                <w:rFonts w:ascii="Times New Roman" w:hAnsi="Times New Roman"/>
              </w:rPr>
              <w:t>leków</w:t>
            </w:r>
            <w:r w:rsidRPr="0095120B">
              <w:rPr>
                <w:rFonts w:ascii="Times New Roman" w:hAnsi="Times New Roman"/>
              </w:rPr>
              <w:t xml:space="preserve"> </w:t>
            </w:r>
            <w:r w:rsidR="002C5CCE">
              <w:rPr>
                <w:rFonts w:ascii="Times New Roman" w:hAnsi="Times New Roman"/>
              </w:rPr>
              <w:t xml:space="preserve">od </w:t>
            </w:r>
            <w:r w:rsidR="002C5CCE" w:rsidRPr="002C5CCE">
              <w:rPr>
                <w:rFonts w:ascii="Times New Roman" w:hAnsi="Times New Roman"/>
              </w:rPr>
              <w:t>pierwszego dnia obowiązywania decyzji administracyjnej o objęciu refundacją i ustaleniu ceny zbytu netto nowych leków w programach lekowych</w:t>
            </w:r>
            <w:r w:rsidR="00DC7F99">
              <w:rPr>
                <w:rFonts w:ascii="Times New Roman" w:hAnsi="Times New Roman"/>
              </w:rPr>
              <w:t>,</w:t>
            </w:r>
            <w:r w:rsidR="00DE6C01" w:rsidRPr="0095120B">
              <w:rPr>
                <w:rFonts w:ascii="Times New Roman" w:hAnsi="Times New Roman"/>
              </w:rPr>
              <w:t xml:space="preserve"> </w:t>
            </w:r>
            <w:r w:rsidR="005D6AAA">
              <w:rPr>
                <w:rFonts w:ascii="Times New Roman" w:hAnsi="Times New Roman"/>
              </w:rPr>
              <w:t xml:space="preserve">co </w:t>
            </w:r>
            <w:r w:rsidRPr="0095120B">
              <w:rPr>
                <w:rFonts w:ascii="Times New Roman" w:hAnsi="Times New Roman"/>
              </w:rPr>
              <w:t>związan</w:t>
            </w:r>
            <w:r w:rsidR="005D6AAA">
              <w:rPr>
                <w:rFonts w:ascii="Times New Roman" w:hAnsi="Times New Roman"/>
              </w:rPr>
              <w:t>e</w:t>
            </w:r>
            <w:r w:rsidRPr="0095120B">
              <w:rPr>
                <w:rFonts w:ascii="Times New Roman" w:hAnsi="Times New Roman"/>
              </w:rPr>
              <w:t xml:space="preserve"> </w:t>
            </w:r>
            <w:r w:rsidR="005D6AAA">
              <w:rPr>
                <w:rFonts w:ascii="Times New Roman" w:hAnsi="Times New Roman"/>
              </w:rPr>
              <w:t xml:space="preserve">jest </w:t>
            </w:r>
            <w:r w:rsidRPr="0095120B">
              <w:rPr>
                <w:rFonts w:ascii="Times New Roman" w:hAnsi="Times New Roman"/>
              </w:rPr>
              <w:t xml:space="preserve">z koniecznością zakontraktowania takiego świadczenia przez </w:t>
            </w:r>
            <w:r w:rsidR="00DE6C01" w:rsidRPr="0095120B">
              <w:rPr>
                <w:rFonts w:ascii="Times New Roman" w:hAnsi="Times New Roman"/>
              </w:rPr>
              <w:t>NFZ</w:t>
            </w:r>
            <w:r w:rsidRPr="0095120B">
              <w:rPr>
                <w:rFonts w:ascii="Times New Roman" w:hAnsi="Times New Roman"/>
              </w:rPr>
              <w:t xml:space="preserve"> z</w:t>
            </w:r>
            <w:r w:rsidR="00DC7F99">
              <w:rPr>
                <w:rFonts w:ascii="Times New Roman" w:hAnsi="Times New Roman"/>
              </w:rPr>
              <w:t>e</w:t>
            </w:r>
            <w:r w:rsidRPr="0095120B">
              <w:rPr>
                <w:rFonts w:ascii="Times New Roman" w:hAnsi="Times New Roman"/>
              </w:rPr>
              <w:t xml:space="preserve"> świadczeniodawcami</w:t>
            </w:r>
            <w:r w:rsidR="00D94C75" w:rsidRPr="0095120B">
              <w:rPr>
                <w:rFonts w:ascii="Times New Roman" w:hAnsi="Times New Roman"/>
              </w:rPr>
              <w:t>;</w:t>
            </w:r>
          </w:p>
          <w:p w14:paraId="572653C7" w14:textId="7634BBC0" w:rsidR="009F3719" w:rsidRPr="0095120B" w:rsidRDefault="00EF1692" w:rsidP="009F3719">
            <w:pPr>
              <w:pStyle w:val="Akapitzlist"/>
              <w:numPr>
                <w:ilvl w:val="0"/>
                <w:numId w:val="38"/>
              </w:numPr>
              <w:jc w:val="both"/>
              <w:rPr>
                <w:rFonts w:ascii="Times New Roman" w:hAnsi="Times New Roman"/>
              </w:rPr>
            </w:pPr>
            <w:r w:rsidRPr="0095120B">
              <w:rPr>
                <w:rFonts w:ascii="Times New Roman" w:hAnsi="Times New Roman"/>
              </w:rPr>
              <w:t xml:space="preserve">niedostatecznie </w:t>
            </w:r>
            <w:r w:rsidR="00AB274C" w:rsidRPr="0095120B">
              <w:rPr>
                <w:rFonts w:ascii="Times New Roman" w:hAnsi="Times New Roman"/>
              </w:rPr>
              <w:t>częste weryfikowani</w:t>
            </w:r>
            <w:r w:rsidRPr="0095120B">
              <w:rPr>
                <w:rFonts w:ascii="Times New Roman" w:hAnsi="Times New Roman"/>
              </w:rPr>
              <w:t>e</w:t>
            </w:r>
            <w:r w:rsidR="00AB274C" w:rsidRPr="0095120B">
              <w:rPr>
                <w:rFonts w:ascii="Times New Roman" w:hAnsi="Times New Roman"/>
              </w:rPr>
              <w:t xml:space="preserve"> </w:t>
            </w:r>
            <w:r w:rsidR="00D94C75" w:rsidRPr="0095120B">
              <w:rPr>
                <w:rFonts w:ascii="Times New Roman" w:hAnsi="Times New Roman"/>
              </w:rPr>
              <w:t>wykazu</w:t>
            </w:r>
            <w:r w:rsidR="00AB274C" w:rsidRPr="0095120B">
              <w:rPr>
                <w:rFonts w:ascii="Times New Roman" w:hAnsi="Times New Roman"/>
              </w:rPr>
              <w:t xml:space="preserve"> wyrobów medycznych wydawanych na zlecenie</w:t>
            </w:r>
            <w:r w:rsidR="00DC7F99">
              <w:rPr>
                <w:rFonts w:ascii="Times New Roman" w:hAnsi="Times New Roman"/>
              </w:rPr>
              <w:t>,</w:t>
            </w:r>
            <w:r w:rsidR="00AB274C" w:rsidRPr="0095120B">
              <w:rPr>
                <w:rFonts w:ascii="Times New Roman" w:hAnsi="Times New Roman"/>
              </w:rPr>
              <w:t xml:space="preserve"> </w:t>
            </w:r>
            <w:r w:rsidR="00DC7F99">
              <w:rPr>
                <w:rFonts w:ascii="Times New Roman" w:hAnsi="Times New Roman"/>
              </w:rPr>
              <w:t>określonych</w:t>
            </w:r>
            <w:r w:rsidR="00AB274C" w:rsidRPr="0095120B">
              <w:rPr>
                <w:rFonts w:ascii="Times New Roman" w:hAnsi="Times New Roman"/>
              </w:rPr>
              <w:t xml:space="preserve"> w</w:t>
            </w:r>
            <w:r w:rsidRPr="0095120B">
              <w:rPr>
                <w:rFonts w:ascii="Times New Roman" w:hAnsi="Times New Roman"/>
              </w:rPr>
              <w:t> </w:t>
            </w:r>
            <w:r w:rsidR="00AB274C" w:rsidRPr="0095120B">
              <w:rPr>
                <w:rFonts w:ascii="Times New Roman" w:hAnsi="Times New Roman"/>
              </w:rPr>
              <w:t xml:space="preserve">rozporządzeniu ministra </w:t>
            </w:r>
            <w:r w:rsidR="00590258" w:rsidRPr="0095120B">
              <w:rPr>
                <w:rFonts w:ascii="Times New Roman" w:hAnsi="Times New Roman"/>
              </w:rPr>
              <w:t xml:space="preserve">właściwego </w:t>
            </w:r>
            <w:r w:rsidR="00AB274C" w:rsidRPr="0095120B">
              <w:rPr>
                <w:rFonts w:ascii="Times New Roman" w:hAnsi="Times New Roman"/>
              </w:rPr>
              <w:t>do spraw zdrowia</w:t>
            </w:r>
            <w:r w:rsidR="00DC7F99">
              <w:rPr>
                <w:rFonts w:ascii="Times New Roman" w:hAnsi="Times New Roman"/>
              </w:rPr>
              <w:t xml:space="preserve"> wydawanym na podstawie </w:t>
            </w:r>
            <w:r w:rsidR="00D82EFA">
              <w:rPr>
                <w:rFonts w:ascii="Times New Roman" w:hAnsi="Times New Roman"/>
              </w:rPr>
              <w:t xml:space="preserve">art. 38 ust. 4 </w:t>
            </w:r>
            <w:r w:rsidR="00DC7F99">
              <w:rPr>
                <w:rFonts w:ascii="Times New Roman" w:hAnsi="Times New Roman"/>
              </w:rPr>
              <w:t>ustawy refundacyjnej</w:t>
            </w:r>
            <w:r w:rsidR="00560AEF">
              <w:rPr>
                <w:rFonts w:ascii="Times New Roman" w:hAnsi="Times New Roman"/>
              </w:rPr>
              <w:t xml:space="preserve">, a przez to nieczęste nowelizowanie rozporządzenia dotyczącego tych </w:t>
            </w:r>
            <w:r w:rsidR="00CD69A5">
              <w:rPr>
                <w:rFonts w:ascii="Times New Roman" w:hAnsi="Times New Roman"/>
              </w:rPr>
              <w:t>wyrobów, pomimo</w:t>
            </w:r>
            <w:r w:rsidR="00560AEF">
              <w:rPr>
                <w:rFonts w:ascii="Times New Roman" w:hAnsi="Times New Roman"/>
              </w:rPr>
              <w:t xml:space="preserve"> że na rynku znajdują się już wyrob</w:t>
            </w:r>
            <w:r w:rsidR="00A70116">
              <w:rPr>
                <w:rFonts w:ascii="Times New Roman" w:hAnsi="Times New Roman"/>
              </w:rPr>
              <w:t>y</w:t>
            </w:r>
            <w:r w:rsidR="00560AEF">
              <w:rPr>
                <w:rFonts w:ascii="Times New Roman" w:hAnsi="Times New Roman"/>
              </w:rPr>
              <w:t xml:space="preserve"> udoskonalone</w:t>
            </w:r>
            <w:r w:rsidR="00A70116">
              <w:rPr>
                <w:rFonts w:ascii="Times New Roman" w:hAnsi="Times New Roman"/>
              </w:rPr>
              <w:t xml:space="preserve">. </w:t>
            </w:r>
            <w:r w:rsidR="00686009">
              <w:rPr>
                <w:rFonts w:ascii="Times New Roman" w:hAnsi="Times New Roman"/>
              </w:rPr>
              <w:t xml:space="preserve">Dodatkowo pacjenci </w:t>
            </w:r>
            <w:r w:rsidR="007C1271">
              <w:rPr>
                <w:rFonts w:ascii="Times New Roman" w:hAnsi="Times New Roman"/>
              </w:rPr>
              <w:t>wskazują na problemy z odbiorem wyrobów medycznych na zlecenie w związku ze zbytnim formalizmem</w:t>
            </w:r>
            <w:r w:rsidR="00D94C75" w:rsidRPr="0095120B">
              <w:rPr>
                <w:rFonts w:ascii="Times New Roman" w:hAnsi="Times New Roman"/>
              </w:rPr>
              <w:t>;</w:t>
            </w:r>
          </w:p>
          <w:p w14:paraId="19CE872A" w14:textId="397A7D9A" w:rsidR="009F3719" w:rsidRPr="0095120B" w:rsidRDefault="00E61C7A" w:rsidP="009F3719">
            <w:pPr>
              <w:pStyle w:val="Akapitzlist"/>
              <w:numPr>
                <w:ilvl w:val="0"/>
                <w:numId w:val="38"/>
              </w:numPr>
              <w:jc w:val="both"/>
              <w:rPr>
                <w:rFonts w:ascii="Times New Roman" w:hAnsi="Times New Roman"/>
              </w:rPr>
            </w:pPr>
            <w:r w:rsidRPr="0095120B">
              <w:rPr>
                <w:rFonts w:ascii="Times New Roman" w:hAnsi="Times New Roman"/>
              </w:rPr>
              <w:t>n</w:t>
            </w:r>
            <w:r w:rsidR="00AB274C" w:rsidRPr="0095120B">
              <w:rPr>
                <w:rFonts w:ascii="Times New Roman" w:hAnsi="Times New Roman"/>
              </w:rPr>
              <w:t>iski poziom zinformatyzowana i zbierania danych związanych z refundacją ogólną co powoduje większą biurokratyzację</w:t>
            </w:r>
            <w:r w:rsidR="002B003B">
              <w:t xml:space="preserve"> </w:t>
            </w:r>
            <w:r w:rsidR="002B003B" w:rsidRPr="002B003B">
              <w:rPr>
                <w:rFonts w:ascii="Times New Roman" w:hAnsi="Times New Roman"/>
              </w:rPr>
              <w:t>i wydłużenie czasu prowadzenia postępowań administracyjnych</w:t>
            </w:r>
            <w:r w:rsidR="00AB274C" w:rsidRPr="0095120B">
              <w:rPr>
                <w:rFonts w:ascii="Times New Roman" w:hAnsi="Times New Roman"/>
              </w:rPr>
              <w:t>, ale też mniejsz</w:t>
            </w:r>
            <w:r w:rsidR="002C1370" w:rsidRPr="0095120B">
              <w:rPr>
                <w:rFonts w:ascii="Times New Roman" w:hAnsi="Times New Roman"/>
              </w:rPr>
              <w:t>ą</w:t>
            </w:r>
            <w:r w:rsidR="00AB274C" w:rsidRPr="0095120B">
              <w:rPr>
                <w:rFonts w:ascii="Times New Roman" w:hAnsi="Times New Roman"/>
              </w:rPr>
              <w:t xml:space="preserve"> świadomość </w:t>
            </w:r>
            <w:r w:rsidR="00DC7F99">
              <w:rPr>
                <w:rFonts w:ascii="Times New Roman" w:hAnsi="Times New Roman"/>
              </w:rPr>
              <w:t>skali</w:t>
            </w:r>
            <w:r w:rsidR="00AB274C" w:rsidRPr="0095120B">
              <w:rPr>
                <w:rFonts w:ascii="Times New Roman" w:hAnsi="Times New Roman"/>
              </w:rPr>
              <w:t xml:space="preserve"> zrealizowanych świadczeń</w:t>
            </w:r>
            <w:r w:rsidR="00D94C75" w:rsidRPr="0095120B">
              <w:rPr>
                <w:rFonts w:ascii="Times New Roman" w:hAnsi="Times New Roman"/>
              </w:rPr>
              <w:t>;</w:t>
            </w:r>
          </w:p>
          <w:p w14:paraId="0C0EAA6A" w14:textId="3F1318D2" w:rsidR="009F3719" w:rsidRPr="00EB4200" w:rsidRDefault="00EB4200" w:rsidP="00EB4200">
            <w:pPr>
              <w:pStyle w:val="Akapitzlist"/>
              <w:numPr>
                <w:ilvl w:val="0"/>
                <w:numId w:val="38"/>
              </w:numPr>
              <w:jc w:val="both"/>
              <w:rPr>
                <w:rFonts w:ascii="Times New Roman" w:hAnsi="Times New Roman"/>
              </w:rPr>
            </w:pPr>
            <w:r>
              <w:rPr>
                <w:rFonts w:ascii="Times New Roman" w:hAnsi="Times New Roman"/>
              </w:rPr>
              <w:t xml:space="preserve"> istnienie barier prawnych zobowiązujących </w:t>
            </w:r>
            <w:r w:rsidR="00722023">
              <w:rPr>
                <w:rFonts w:ascii="Times New Roman" w:hAnsi="Times New Roman"/>
              </w:rPr>
              <w:t>Ministra Zdrowia</w:t>
            </w:r>
            <w:r>
              <w:rPr>
                <w:rFonts w:ascii="Times New Roman" w:hAnsi="Times New Roman"/>
              </w:rPr>
              <w:t xml:space="preserve"> do wydania decyzji o odmow</w:t>
            </w:r>
            <w:r w:rsidR="00B23380">
              <w:rPr>
                <w:rFonts w:ascii="Times New Roman" w:hAnsi="Times New Roman"/>
              </w:rPr>
              <w:t>ie</w:t>
            </w:r>
            <w:r>
              <w:rPr>
                <w:rFonts w:ascii="Times New Roman" w:hAnsi="Times New Roman"/>
              </w:rPr>
              <w:t xml:space="preserve"> refundacji leków i środków spożywczych specjalnego przeznaczenia żywieniowego sprowadzanych w ramach importu docelowego, o których mowa w art 39 ust. 3e pkt 1, 4 i 5 ustawy refundacyjnej</w:t>
            </w:r>
            <w:r w:rsidR="009F3719" w:rsidRPr="00EB4200">
              <w:rPr>
                <w:rFonts w:ascii="Times New Roman" w:hAnsi="Times New Roman"/>
              </w:rPr>
              <w:t>;</w:t>
            </w:r>
          </w:p>
          <w:p w14:paraId="556E4EE3" w14:textId="57D34EBB" w:rsidR="001C34B8" w:rsidRPr="0095120B" w:rsidRDefault="001C34B8" w:rsidP="009F3719">
            <w:pPr>
              <w:pStyle w:val="Akapitzlist"/>
              <w:numPr>
                <w:ilvl w:val="0"/>
                <w:numId w:val="38"/>
              </w:numPr>
              <w:jc w:val="both"/>
              <w:rPr>
                <w:rFonts w:ascii="Times New Roman" w:hAnsi="Times New Roman"/>
              </w:rPr>
            </w:pPr>
            <w:r>
              <w:rPr>
                <w:rFonts w:ascii="Times New Roman" w:hAnsi="Times New Roman"/>
              </w:rPr>
              <w:t>potrzeba</w:t>
            </w:r>
            <w:r w:rsidRPr="001C34B8">
              <w:rPr>
                <w:rFonts w:ascii="Times New Roman" w:hAnsi="Times New Roman"/>
              </w:rPr>
              <w:t xml:space="preserve"> rozbudow</w:t>
            </w:r>
            <w:r>
              <w:rPr>
                <w:rFonts w:ascii="Times New Roman" w:hAnsi="Times New Roman"/>
              </w:rPr>
              <w:t>y</w:t>
            </w:r>
            <w:r w:rsidRPr="001C34B8">
              <w:rPr>
                <w:rFonts w:ascii="Times New Roman" w:hAnsi="Times New Roman"/>
              </w:rPr>
              <w:t xml:space="preserve"> system</w:t>
            </w:r>
            <w:r>
              <w:rPr>
                <w:rFonts w:ascii="Times New Roman" w:hAnsi="Times New Roman"/>
              </w:rPr>
              <w:t>u</w:t>
            </w:r>
            <w:r w:rsidRPr="001C34B8">
              <w:rPr>
                <w:rFonts w:ascii="Times New Roman" w:hAnsi="Times New Roman"/>
              </w:rPr>
              <w:t xml:space="preserve"> teleinformatyczn</w:t>
            </w:r>
            <w:r>
              <w:rPr>
                <w:rFonts w:ascii="Times New Roman" w:hAnsi="Times New Roman"/>
              </w:rPr>
              <w:t>ego</w:t>
            </w:r>
            <w:r w:rsidRPr="001C34B8">
              <w:rPr>
                <w:rFonts w:ascii="Times New Roman" w:hAnsi="Times New Roman"/>
              </w:rPr>
              <w:t xml:space="preserve"> </w:t>
            </w:r>
            <w:r w:rsidR="00722023" w:rsidRPr="00722023">
              <w:rPr>
                <w:rFonts w:ascii="Times New Roman" w:hAnsi="Times New Roman"/>
              </w:rPr>
              <w:t>–</w:t>
            </w:r>
            <w:r w:rsidR="00B23380">
              <w:rPr>
                <w:rFonts w:ascii="Times New Roman" w:hAnsi="Times New Roman"/>
              </w:rPr>
              <w:t xml:space="preserve"> </w:t>
            </w:r>
            <w:r>
              <w:rPr>
                <w:rFonts w:ascii="Times New Roman" w:hAnsi="Times New Roman"/>
              </w:rPr>
              <w:t>System Obsługi Importu Docelowego (SOID)</w:t>
            </w:r>
            <w:r w:rsidR="00722023">
              <w:t xml:space="preserve"> </w:t>
            </w:r>
            <w:r w:rsidR="00722023" w:rsidRPr="00722023">
              <w:rPr>
                <w:rFonts w:ascii="Times New Roman" w:hAnsi="Times New Roman"/>
              </w:rPr>
              <w:t>–</w:t>
            </w:r>
            <w:r w:rsidR="00B23380">
              <w:rPr>
                <w:rFonts w:ascii="Times New Roman" w:hAnsi="Times New Roman"/>
              </w:rPr>
              <w:t xml:space="preserve"> </w:t>
            </w:r>
            <w:r>
              <w:rPr>
                <w:rFonts w:ascii="Times New Roman" w:hAnsi="Times New Roman"/>
              </w:rPr>
              <w:t xml:space="preserve">ze względu na konieczność jego dostosowania do potrzeb użytkowników </w:t>
            </w:r>
            <w:r w:rsidR="007D7673">
              <w:rPr>
                <w:rFonts w:ascii="Times New Roman" w:hAnsi="Times New Roman"/>
              </w:rPr>
              <w:t xml:space="preserve">tego </w:t>
            </w:r>
            <w:r>
              <w:rPr>
                <w:rFonts w:ascii="Times New Roman" w:hAnsi="Times New Roman"/>
              </w:rPr>
              <w:t>systemu</w:t>
            </w:r>
            <w:r w:rsidR="00B23380">
              <w:rPr>
                <w:rFonts w:ascii="Times New Roman" w:hAnsi="Times New Roman"/>
              </w:rPr>
              <w:t>;</w:t>
            </w:r>
          </w:p>
          <w:p w14:paraId="05EE1A98" w14:textId="35B20F87" w:rsidR="00E640F7" w:rsidRDefault="009F3719" w:rsidP="009F3719">
            <w:pPr>
              <w:pStyle w:val="Akapitzlist"/>
              <w:numPr>
                <w:ilvl w:val="0"/>
                <w:numId w:val="38"/>
              </w:numPr>
              <w:jc w:val="both"/>
              <w:rPr>
                <w:rFonts w:ascii="Times New Roman" w:hAnsi="Times New Roman"/>
              </w:rPr>
            </w:pPr>
            <w:r w:rsidRPr="0095120B">
              <w:rPr>
                <w:rFonts w:ascii="Times New Roman" w:hAnsi="Times New Roman"/>
              </w:rPr>
              <w:t xml:space="preserve">zbyt </w:t>
            </w:r>
            <w:r w:rsidR="00D94C75" w:rsidRPr="0095120B">
              <w:rPr>
                <w:rFonts w:ascii="Times New Roman" w:hAnsi="Times New Roman"/>
              </w:rPr>
              <w:t xml:space="preserve">niska </w:t>
            </w:r>
            <w:r w:rsidR="005D6951" w:rsidRPr="0095120B">
              <w:rPr>
                <w:rFonts w:ascii="Times New Roman" w:hAnsi="Times New Roman"/>
              </w:rPr>
              <w:t>rentownoś</w:t>
            </w:r>
            <w:r w:rsidR="00D94C75" w:rsidRPr="0095120B">
              <w:rPr>
                <w:rFonts w:ascii="Times New Roman" w:hAnsi="Times New Roman"/>
              </w:rPr>
              <w:t>ć</w:t>
            </w:r>
            <w:r w:rsidR="005D6951" w:rsidRPr="0095120B">
              <w:rPr>
                <w:rFonts w:ascii="Times New Roman" w:hAnsi="Times New Roman"/>
              </w:rPr>
              <w:t xml:space="preserve"> obrotu produktami refundowanymi przez hurtownie farmaceutyczne </w:t>
            </w:r>
            <w:r w:rsidR="00EA1491">
              <w:rPr>
                <w:rFonts w:ascii="Times New Roman" w:hAnsi="Times New Roman"/>
              </w:rPr>
              <w:t>P</w:t>
            </w:r>
            <w:r w:rsidR="005D6951" w:rsidRPr="0095120B">
              <w:rPr>
                <w:rFonts w:ascii="Times New Roman" w:hAnsi="Times New Roman"/>
              </w:rPr>
              <w:t xml:space="preserve">roblem ten jest wskazywany przez </w:t>
            </w:r>
            <w:r w:rsidR="00E61C7A" w:rsidRPr="0095120B">
              <w:rPr>
                <w:rFonts w:ascii="Times New Roman" w:hAnsi="Times New Roman"/>
              </w:rPr>
              <w:t>przedstawiciel</w:t>
            </w:r>
            <w:r w:rsidR="005D6951" w:rsidRPr="0095120B">
              <w:rPr>
                <w:rFonts w:ascii="Times New Roman" w:hAnsi="Times New Roman"/>
              </w:rPr>
              <w:t>i branży</w:t>
            </w:r>
            <w:r w:rsidR="00E61C7A" w:rsidRPr="0095120B">
              <w:rPr>
                <w:rFonts w:ascii="Times New Roman" w:hAnsi="Times New Roman"/>
              </w:rPr>
              <w:t xml:space="preserve"> hurtowni farmaceutycznych</w:t>
            </w:r>
            <w:r w:rsidR="005D6951" w:rsidRPr="0095120B">
              <w:rPr>
                <w:rFonts w:ascii="Times New Roman" w:hAnsi="Times New Roman"/>
              </w:rPr>
              <w:t>, którzy podkreślają</w:t>
            </w:r>
            <w:r w:rsidR="00E61C7A" w:rsidRPr="0095120B">
              <w:rPr>
                <w:rFonts w:ascii="Times New Roman" w:hAnsi="Times New Roman"/>
              </w:rPr>
              <w:t xml:space="preserve"> niską rentowność </w:t>
            </w:r>
            <w:r w:rsidR="00154E4A" w:rsidRPr="0095120B">
              <w:rPr>
                <w:rFonts w:ascii="Times New Roman" w:hAnsi="Times New Roman"/>
              </w:rPr>
              <w:t>handlu</w:t>
            </w:r>
            <w:r w:rsidR="00DC7F99">
              <w:rPr>
                <w:rFonts w:ascii="Times New Roman" w:hAnsi="Times New Roman"/>
              </w:rPr>
              <w:t xml:space="preserve"> tym asortymentem</w:t>
            </w:r>
            <w:r w:rsidR="00582E2E">
              <w:rPr>
                <w:rFonts w:ascii="Times New Roman" w:hAnsi="Times New Roman"/>
              </w:rPr>
              <w:t>;</w:t>
            </w:r>
          </w:p>
          <w:p w14:paraId="551A5ED4" w14:textId="57E56821" w:rsidR="00432491" w:rsidRDefault="00642B2F" w:rsidP="009F3719">
            <w:pPr>
              <w:pStyle w:val="Akapitzlist"/>
              <w:numPr>
                <w:ilvl w:val="0"/>
                <w:numId w:val="38"/>
              </w:numPr>
              <w:jc w:val="both"/>
              <w:rPr>
                <w:rFonts w:ascii="Times New Roman" w:hAnsi="Times New Roman"/>
              </w:rPr>
            </w:pPr>
            <w:r>
              <w:rPr>
                <w:rFonts w:ascii="Times New Roman" w:hAnsi="Times New Roman"/>
              </w:rPr>
              <w:t>b</w:t>
            </w:r>
            <w:r w:rsidR="00432491">
              <w:rPr>
                <w:rFonts w:ascii="Times New Roman" w:hAnsi="Times New Roman"/>
              </w:rPr>
              <w:t xml:space="preserve">rak możliwości przenoszenia praw i obowiązków wynikających z obowiązującej decyzji o objęciu refundacją i </w:t>
            </w:r>
            <w:r w:rsidR="00250ECA">
              <w:rPr>
                <w:rFonts w:ascii="Times New Roman" w:hAnsi="Times New Roman"/>
              </w:rPr>
              <w:t xml:space="preserve">ustaleniu </w:t>
            </w:r>
            <w:r w:rsidR="00432491">
              <w:rPr>
                <w:rFonts w:ascii="Times New Roman" w:hAnsi="Times New Roman"/>
              </w:rPr>
              <w:t>ceny zbytu netto</w:t>
            </w:r>
            <w:r w:rsidR="00D02175">
              <w:rPr>
                <w:rFonts w:ascii="Times New Roman" w:hAnsi="Times New Roman"/>
              </w:rPr>
              <w:t>,</w:t>
            </w:r>
            <w:r w:rsidR="00432491">
              <w:rPr>
                <w:rFonts w:ascii="Times New Roman" w:hAnsi="Times New Roman"/>
              </w:rPr>
              <w:t xml:space="preserve"> </w:t>
            </w:r>
            <w:r w:rsidR="00D02175">
              <w:rPr>
                <w:rFonts w:ascii="Times New Roman" w:hAnsi="Times New Roman"/>
              </w:rPr>
              <w:t xml:space="preserve">na inny podmiot odpowiedzialny, </w:t>
            </w:r>
            <w:r w:rsidR="00432491">
              <w:rPr>
                <w:rFonts w:ascii="Times New Roman" w:hAnsi="Times New Roman"/>
              </w:rPr>
              <w:t xml:space="preserve">w </w:t>
            </w:r>
            <w:r w:rsidR="00445727">
              <w:rPr>
                <w:rFonts w:ascii="Times New Roman" w:hAnsi="Times New Roman"/>
              </w:rPr>
              <w:t>sytuacji,</w:t>
            </w:r>
            <w:r w:rsidR="00432491">
              <w:rPr>
                <w:rFonts w:ascii="Times New Roman" w:hAnsi="Times New Roman"/>
              </w:rPr>
              <w:t xml:space="preserve"> kiedy nastąpiło przeniesienie prawa do leku objętego tą decyzją między tymi podmiotami</w:t>
            </w:r>
            <w:r w:rsidR="00582E2E">
              <w:rPr>
                <w:rFonts w:ascii="Times New Roman" w:hAnsi="Times New Roman"/>
              </w:rPr>
              <w:t>;</w:t>
            </w:r>
            <w:r w:rsidR="00432491">
              <w:rPr>
                <w:rFonts w:ascii="Times New Roman" w:hAnsi="Times New Roman"/>
              </w:rPr>
              <w:t xml:space="preserve"> </w:t>
            </w:r>
          </w:p>
          <w:p w14:paraId="00BF9B21" w14:textId="2D650247" w:rsidR="00582E2E" w:rsidRDefault="00150FC7" w:rsidP="009F3719">
            <w:pPr>
              <w:pStyle w:val="Akapitzlist"/>
              <w:numPr>
                <w:ilvl w:val="0"/>
                <w:numId w:val="38"/>
              </w:numPr>
              <w:jc w:val="both"/>
              <w:rPr>
                <w:rFonts w:ascii="Times New Roman" w:hAnsi="Times New Roman"/>
              </w:rPr>
            </w:pPr>
            <w:r>
              <w:rPr>
                <w:rFonts w:ascii="Times New Roman" w:hAnsi="Times New Roman"/>
              </w:rPr>
              <w:t xml:space="preserve">niejasność </w:t>
            </w:r>
            <w:r w:rsidR="00582E2E">
              <w:rPr>
                <w:rFonts w:ascii="Times New Roman" w:hAnsi="Times New Roman"/>
              </w:rPr>
              <w:t>wśród adresatów normy wynikającej z art. 9 ust. 1 ustawy refundacyjnej, jak należy wystawić fakturę VAT przy sprzedaży produktu do świadczeniobiorcy przez hurtownię farmaceutyczną;</w:t>
            </w:r>
          </w:p>
          <w:p w14:paraId="58CDE0CF" w14:textId="171519AA" w:rsidR="00582E2E" w:rsidRDefault="00642B2F" w:rsidP="009F3719">
            <w:pPr>
              <w:pStyle w:val="Akapitzlist"/>
              <w:numPr>
                <w:ilvl w:val="0"/>
                <w:numId w:val="38"/>
              </w:numPr>
              <w:jc w:val="both"/>
              <w:rPr>
                <w:rFonts w:ascii="Times New Roman" w:hAnsi="Times New Roman"/>
              </w:rPr>
            </w:pPr>
            <w:r>
              <w:rPr>
                <w:rFonts w:ascii="Times New Roman" w:hAnsi="Times New Roman"/>
              </w:rPr>
              <w:t>b</w:t>
            </w:r>
            <w:r w:rsidR="007E27F2">
              <w:rPr>
                <w:rFonts w:ascii="Times New Roman" w:hAnsi="Times New Roman"/>
              </w:rPr>
              <w:t>rak jednolitego sposobu liczenia marży detalicznej w art. 7 ust. 6 i 7 w stosunku do art. 7 ust. 4</w:t>
            </w:r>
            <w:r w:rsidR="00B23380">
              <w:rPr>
                <w:rFonts w:ascii="Times New Roman" w:hAnsi="Times New Roman"/>
              </w:rPr>
              <w:t xml:space="preserve"> ustawy refundacyjnej</w:t>
            </w:r>
            <w:r w:rsidR="00D02175">
              <w:rPr>
                <w:rFonts w:ascii="Times New Roman" w:hAnsi="Times New Roman"/>
              </w:rPr>
              <w:t>,</w:t>
            </w:r>
            <w:r w:rsidR="007E27F2">
              <w:rPr>
                <w:rFonts w:ascii="Times New Roman" w:hAnsi="Times New Roman"/>
              </w:rPr>
              <w:t xml:space="preserve"> co powoduje </w:t>
            </w:r>
            <w:r w:rsidR="00CF0035">
              <w:rPr>
                <w:rFonts w:ascii="Times New Roman" w:hAnsi="Times New Roman"/>
              </w:rPr>
              <w:t>zbyt daleko posunięte różnice w sposobie</w:t>
            </w:r>
            <w:r w:rsidR="007E27F2">
              <w:rPr>
                <w:rFonts w:ascii="Times New Roman" w:hAnsi="Times New Roman"/>
              </w:rPr>
              <w:t xml:space="preserve"> naliczani</w:t>
            </w:r>
            <w:r w:rsidR="00EA1491">
              <w:rPr>
                <w:rFonts w:ascii="Times New Roman" w:hAnsi="Times New Roman"/>
              </w:rPr>
              <w:t>a</w:t>
            </w:r>
            <w:r w:rsidR="007E27F2">
              <w:rPr>
                <w:rFonts w:ascii="Times New Roman" w:hAnsi="Times New Roman"/>
              </w:rPr>
              <w:t xml:space="preserve"> marży detalicznej w różnych sytuacjach</w:t>
            </w:r>
            <w:r w:rsidR="008000B2">
              <w:rPr>
                <w:rFonts w:ascii="Times New Roman" w:hAnsi="Times New Roman"/>
              </w:rPr>
              <w:t>;</w:t>
            </w:r>
            <w:r w:rsidR="007E27F2">
              <w:rPr>
                <w:rFonts w:ascii="Times New Roman" w:hAnsi="Times New Roman"/>
              </w:rPr>
              <w:t xml:space="preserve"> </w:t>
            </w:r>
          </w:p>
          <w:p w14:paraId="2B882293" w14:textId="5AF342D9" w:rsidR="004D3096" w:rsidRDefault="00642B2F" w:rsidP="009F3719">
            <w:pPr>
              <w:pStyle w:val="Akapitzlist"/>
              <w:numPr>
                <w:ilvl w:val="0"/>
                <w:numId w:val="38"/>
              </w:numPr>
              <w:jc w:val="both"/>
              <w:rPr>
                <w:rFonts w:ascii="Times New Roman" w:hAnsi="Times New Roman"/>
              </w:rPr>
            </w:pPr>
            <w:r>
              <w:rPr>
                <w:rFonts w:ascii="Times New Roman" w:hAnsi="Times New Roman"/>
              </w:rPr>
              <w:t>n</w:t>
            </w:r>
            <w:r w:rsidR="008000B2">
              <w:rPr>
                <w:rFonts w:ascii="Times New Roman" w:hAnsi="Times New Roman"/>
              </w:rPr>
              <w:t xml:space="preserve">ieadekwatność obecnego brzmienia definicji „prezentacji” dla wyrobów medycznych, dla których zmieniony kształt opatrunku powoduje, że nie można go traktować jako kolejnej prezentacji, a trzeba jako kolejny odpowiednik </w:t>
            </w:r>
            <w:r w:rsidR="001963C6">
              <w:rPr>
                <w:rFonts w:ascii="Times New Roman" w:hAnsi="Times New Roman"/>
              </w:rPr>
              <w:t>opatrunku, pomimo</w:t>
            </w:r>
            <w:r w:rsidR="008000B2">
              <w:rPr>
                <w:rFonts w:ascii="Times New Roman" w:hAnsi="Times New Roman"/>
              </w:rPr>
              <w:t xml:space="preserve"> że budowa i właściwości danego produktu są niezmienione</w:t>
            </w:r>
            <w:r w:rsidR="001963C6">
              <w:rPr>
                <w:rFonts w:ascii="Times New Roman" w:hAnsi="Times New Roman"/>
              </w:rPr>
              <w:t xml:space="preserve"> i nie zależą od kształtu</w:t>
            </w:r>
            <w:r w:rsidR="008000B2">
              <w:rPr>
                <w:rFonts w:ascii="Times New Roman" w:hAnsi="Times New Roman"/>
              </w:rPr>
              <w:t>;</w:t>
            </w:r>
          </w:p>
          <w:p w14:paraId="42CE2F27" w14:textId="1DEDE84E" w:rsidR="008000B2" w:rsidRDefault="00642B2F" w:rsidP="009F3719">
            <w:pPr>
              <w:pStyle w:val="Akapitzlist"/>
              <w:numPr>
                <w:ilvl w:val="0"/>
                <w:numId w:val="38"/>
              </w:numPr>
              <w:jc w:val="both"/>
              <w:rPr>
                <w:rFonts w:ascii="Times New Roman" w:hAnsi="Times New Roman"/>
              </w:rPr>
            </w:pPr>
            <w:r>
              <w:rPr>
                <w:rFonts w:ascii="Times New Roman" w:hAnsi="Times New Roman"/>
              </w:rPr>
              <w:t>a</w:t>
            </w:r>
            <w:r w:rsidR="001963C6">
              <w:rPr>
                <w:rFonts w:ascii="Times New Roman" w:hAnsi="Times New Roman"/>
              </w:rPr>
              <w:t>rt. 9 ust. 2a ustawy refundacyjnej przewiduje, że r</w:t>
            </w:r>
            <w:r w:rsidR="001963C6" w:rsidRPr="001963C6">
              <w:rPr>
                <w:rFonts w:ascii="Times New Roman" w:hAnsi="Times New Roman"/>
              </w:rPr>
              <w:t>ealizator programu polityki zdrowotnej w rozumieniu </w:t>
            </w:r>
            <w:r w:rsidR="00191039" w:rsidRPr="00191039">
              <w:rPr>
                <w:rFonts w:ascii="Times New Roman" w:hAnsi="Times New Roman"/>
              </w:rPr>
              <w:t>art. 5 pkt 29a</w:t>
            </w:r>
            <w:r w:rsidR="001963C6" w:rsidRPr="001963C6">
              <w:rPr>
                <w:rFonts w:ascii="Times New Roman" w:hAnsi="Times New Roman"/>
              </w:rPr>
              <w:t xml:space="preserve"> ustawy </w:t>
            </w:r>
            <w:r w:rsidR="00254C29" w:rsidRPr="00254C29">
              <w:rPr>
                <w:rFonts w:ascii="Times New Roman" w:hAnsi="Times New Roman"/>
              </w:rPr>
              <w:t xml:space="preserve">z dnia 27 sierpnia 2004 r. o świadczeniach opieki zdrowotnej finansowanych ze środków publicznych </w:t>
            </w:r>
            <w:r w:rsidR="00AA0B43" w:rsidRPr="00AA0B43">
              <w:rPr>
                <w:rFonts w:ascii="Times New Roman" w:hAnsi="Times New Roman"/>
              </w:rPr>
              <w:t xml:space="preserve">(Dz. U. z 2024 r. poz. 146, z późn. zm.) </w:t>
            </w:r>
            <w:r w:rsidR="001963C6" w:rsidRPr="001963C6">
              <w:rPr>
                <w:rFonts w:ascii="Times New Roman" w:hAnsi="Times New Roman"/>
              </w:rPr>
              <w:t>nabywa do tego programu leki, dla których ustalono kategorię dostępności refundacyjnej, o której mowa w </w:t>
            </w:r>
            <w:r w:rsidR="00191039" w:rsidRPr="00191039">
              <w:rPr>
                <w:rFonts w:ascii="Times New Roman" w:hAnsi="Times New Roman"/>
              </w:rPr>
              <w:t>art. 6 ust. 1 pkt 2</w:t>
            </w:r>
            <w:r w:rsidR="001963C6" w:rsidRPr="001963C6">
              <w:rPr>
                <w:rFonts w:ascii="Times New Roman" w:hAnsi="Times New Roman"/>
              </w:rPr>
              <w:t>, po cenie nie wyższej niż wynikająca z instrumentu dzielenia ryzyka określonego dla tego leku w decyzji administracyjnej</w:t>
            </w:r>
            <w:r w:rsidR="001963C6">
              <w:rPr>
                <w:rFonts w:ascii="Times New Roman" w:hAnsi="Times New Roman"/>
              </w:rPr>
              <w:t>, jednak nie ustalono żadnego trybu informowania go o cenie wynikające</w:t>
            </w:r>
            <w:r w:rsidR="00CF0035">
              <w:rPr>
                <w:rFonts w:ascii="Times New Roman" w:hAnsi="Times New Roman"/>
              </w:rPr>
              <w:t>j</w:t>
            </w:r>
            <w:r w:rsidR="001963C6">
              <w:rPr>
                <w:rFonts w:ascii="Times New Roman" w:hAnsi="Times New Roman"/>
              </w:rPr>
              <w:t xml:space="preserve"> z instrumentu dzielenia ryzyka, która dodatkowo jest objęta tajemnicą refundacyjną</w:t>
            </w:r>
            <w:r w:rsidR="00AD3916">
              <w:rPr>
                <w:rFonts w:ascii="Times New Roman" w:hAnsi="Times New Roman"/>
              </w:rPr>
              <w:t>;</w:t>
            </w:r>
          </w:p>
          <w:p w14:paraId="0FD7A219" w14:textId="1F864742" w:rsidR="001963C6" w:rsidRDefault="00CF0035" w:rsidP="009F3719">
            <w:pPr>
              <w:pStyle w:val="Akapitzlist"/>
              <w:numPr>
                <w:ilvl w:val="0"/>
                <w:numId w:val="38"/>
              </w:numPr>
              <w:jc w:val="both"/>
              <w:rPr>
                <w:rFonts w:ascii="Times New Roman" w:hAnsi="Times New Roman"/>
              </w:rPr>
            </w:pPr>
            <w:r>
              <w:rPr>
                <w:rFonts w:ascii="Times New Roman" w:hAnsi="Times New Roman"/>
              </w:rPr>
              <w:t xml:space="preserve">konieczność doprecyzowania </w:t>
            </w:r>
            <w:r w:rsidR="00642B2F">
              <w:rPr>
                <w:rFonts w:ascii="Times New Roman" w:hAnsi="Times New Roman"/>
              </w:rPr>
              <w:t>p</w:t>
            </w:r>
            <w:r w:rsidR="00560AEF">
              <w:rPr>
                <w:rFonts w:ascii="Times New Roman" w:hAnsi="Times New Roman"/>
              </w:rPr>
              <w:t>rzepis</w:t>
            </w:r>
            <w:r>
              <w:rPr>
                <w:rFonts w:ascii="Times New Roman" w:hAnsi="Times New Roman"/>
              </w:rPr>
              <w:t>ów</w:t>
            </w:r>
            <w:r w:rsidR="00560AEF">
              <w:rPr>
                <w:rFonts w:ascii="Times New Roman" w:hAnsi="Times New Roman"/>
              </w:rPr>
              <w:t xml:space="preserve"> regulując</w:t>
            </w:r>
            <w:r>
              <w:rPr>
                <w:rFonts w:ascii="Times New Roman" w:hAnsi="Times New Roman"/>
              </w:rPr>
              <w:t>ych</w:t>
            </w:r>
            <w:r w:rsidR="00560AEF">
              <w:rPr>
                <w:rFonts w:ascii="Times New Roman" w:hAnsi="Times New Roman"/>
              </w:rPr>
              <w:t xml:space="preserve"> tzw. „cenę progową” </w:t>
            </w:r>
            <w:r w:rsidR="00EA1491">
              <w:rPr>
                <w:rFonts w:ascii="Times New Roman" w:hAnsi="Times New Roman"/>
              </w:rPr>
              <w:t>w</w:t>
            </w:r>
            <w:r w:rsidR="00560AEF">
              <w:rPr>
                <w:rFonts w:ascii="Times New Roman" w:hAnsi="Times New Roman"/>
              </w:rPr>
              <w:t xml:space="preserve"> art. 13 ust. </w:t>
            </w:r>
            <w:r w:rsidR="00BF685A">
              <w:rPr>
                <w:rFonts w:ascii="Times New Roman" w:hAnsi="Times New Roman"/>
              </w:rPr>
              <w:t xml:space="preserve">6 i </w:t>
            </w:r>
            <w:r w:rsidR="00560AEF">
              <w:rPr>
                <w:rFonts w:ascii="Times New Roman" w:hAnsi="Times New Roman"/>
              </w:rPr>
              <w:t>6</w:t>
            </w:r>
            <w:r w:rsidR="005926BD">
              <w:rPr>
                <w:rFonts w:ascii="Times New Roman" w:hAnsi="Times New Roman"/>
              </w:rPr>
              <w:t>a</w:t>
            </w:r>
            <w:r w:rsidR="00B23380">
              <w:rPr>
                <w:rFonts w:ascii="Times New Roman" w:hAnsi="Times New Roman"/>
              </w:rPr>
              <w:t xml:space="preserve"> ustawy o refundacji</w:t>
            </w:r>
            <w:r w:rsidR="001C7F28">
              <w:rPr>
                <w:rFonts w:ascii="Times New Roman" w:hAnsi="Times New Roman"/>
              </w:rPr>
              <w:t xml:space="preserve">, ponieważ w obecnym brzmieniu blokują </w:t>
            </w:r>
            <w:r>
              <w:rPr>
                <w:rFonts w:ascii="Times New Roman" w:hAnsi="Times New Roman"/>
              </w:rPr>
              <w:t xml:space="preserve">one </w:t>
            </w:r>
            <w:r w:rsidR="001C7F28">
              <w:rPr>
                <w:rFonts w:ascii="Times New Roman" w:hAnsi="Times New Roman"/>
              </w:rPr>
              <w:t>możliwość wydania pozytywnej decyzji o objęciu refundacją i ustaleniu ceny zbytu netto</w:t>
            </w:r>
            <w:r>
              <w:rPr>
                <w:rFonts w:ascii="Times New Roman" w:hAnsi="Times New Roman"/>
              </w:rPr>
              <w:t>,</w:t>
            </w:r>
            <w:r w:rsidR="001C7F28">
              <w:rPr>
                <w:rFonts w:ascii="Times New Roman" w:hAnsi="Times New Roman"/>
              </w:rPr>
              <w:t xml:space="preserve"> pomimo zaoferowania najniż</w:t>
            </w:r>
            <w:r w:rsidR="00482975">
              <w:rPr>
                <w:rFonts w:ascii="Times New Roman" w:hAnsi="Times New Roman"/>
              </w:rPr>
              <w:t>sz</w:t>
            </w:r>
            <w:r w:rsidR="001C7F28">
              <w:rPr>
                <w:rFonts w:ascii="Times New Roman" w:hAnsi="Times New Roman"/>
              </w:rPr>
              <w:t xml:space="preserve">ej ceny oficjalnej i efektywnej, a także niejednokrotnie blokują wprowadzenie do systemu </w:t>
            </w:r>
            <w:r>
              <w:rPr>
                <w:rFonts w:ascii="Times New Roman" w:hAnsi="Times New Roman"/>
              </w:rPr>
              <w:t xml:space="preserve">produktu </w:t>
            </w:r>
            <w:r w:rsidR="001C7F28">
              <w:rPr>
                <w:rFonts w:ascii="Times New Roman" w:hAnsi="Times New Roman"/>
              </w:rPr>
              <w:t>konkuren</w:t>
            </w:r>
            <w:r>
              <w:rPr>
                <w:rFonts w:ascii="Times New Roman" w:hAnsi="Times New Roman"/>
              </w:rPr>
              <w:t>cyjnego</w:t>
            </w:r>
            <w:r w:rsidR="001C7F28">
              <w:rPr>
                <w:rFonts w:ascii="Times New Roman" w:hAnsi="Times New Roman"/>
              </w:rPr>
              <w:t xml:space="preserve"> dla leku obecnie znajdującego się na liście</w:t>
            </w:r>
            <w:r w:rsidR="00BF685A">
              <w:rPr>
                <w:rFonts w:ascii="Times New Roman" w:hAnsi="Times New Roman"/>
              </w:rPr>
              <w:t>. Pojawiają się też wątpliwości interpretacyjne co do wzajemnego stosunku poszczególnych ustępów;</w:t>
            </w:r>
          </w:p>
          <w:p w14:paraId="1A81652E" w14:textId="7D6860CD" w:rsidR="005926BD" w:rsidRDefault="00642B2F" w:rsidP="009F3719">
            <w:pPr>
              <w:pStyle w:val="Akapitzlist"/>
              <w:numPr>
                <w:ilvl w:val="0"/>
                <w:numId w:val="38"/>
              </w:numPr>
              <w:jc w:val="both"/>
              <w:rPr>
                <w:rFonts w:ascii="Times New Roman" w:hAnsi="Times New Roman"/>
              </w:rPr>
            </w:pPr>
            <w:r>
              <w:rPr>
                <w:rFonts w:ascii="Times New Roman" w:hAnsi="Times New Roman"/>
              </w:rPr>
              <w:t>b</w:t>
            </w:r>
            <w:r w:rsidR="004B3C1E">
              <w:rPr>
                <w:rFonts w:ascii="Times New Roman" w:hAnsi="Times New Roman"/>
              </w:rPr>
              <w:t>łędna konstrukcja i redakcja przepisów dotycząc</w:t>
            </w:r>
            <w:r w:rsidR="00CF0035">
              <w:rPr>
                <w:rFonts w:ascii="Times New Roman" w:hAnsi="Times New Roman"/>
              </w:rPr>
              <w:t>ych</w:t>
            </w:r>
            <w:r w:rsidR="004B3C1E">
              <w:rPr>
                <w:rFonts w:ascii="Times New Roman" w:hAnsi="Times New Roman"/>
              </w:rPr>
              <w:t xml:space="preserve"> preferencji związanych z uzyskaniem statusu leku produkowanego </w:t>
            </w:r>
            <w:r w:rsidR="004B3C1E" w:rsidRPr="004B3C1E">
              <w:rPr>
                <w:rFonts w:ascii="Times New Roman" w:hAnsi="Times New Roman"/>
              </w:rPr>
              <w:t>na terytorium Rzeczypospolitej Polskiej</w:t>
            </w:r>
            <w:r w:rsidR="004B3C1E">
              <w:rPr>
                <w:rFonts w:ascii="Times New Roman" w:hAnsi="Times New Roman"/>
              </w:rPr>
              <w:t>, co uniemożliwia pełne korzystanie z ustawowych preferencji</w:t>
            </w:r>
            <w:r w:rsidR="00CF0035">
              <w:rPr>
                <w:rFonts w:ascii="Times New Roman" w:hAnsi="Times New Roman"/>
              </w:rPr>
              <w:t>,</w:t>
            </w:r>
            <w:r w:rsidR="004B3C1E">
              <w:rPr>
                <w:rFonts w:ascii="Times New Roman" w:hAnsi="Times New Roman"/>
              </w:rPr>
              <w:t xml:space="preserve"> w tym przez </w:t>
            </w:r>
            <w:r w:rsidR="00934796">
              <w:rPr>
                <w:rFonts w:ascii="Times New Roman" w:hAnsi="Times New Roman"/>
              </w:rPr>
              <w:t>niepoprawne</w:t>
            </w:r>
            <w:r w:rsidR="004B3C1E">
              <w:rPr>
                <w:rFonts w:ascii="Times New Roman" w:hAnsi="Times New Roman"/>
              </w:rPr>
              <w:t xml:space="preserve"> zakwalifikowanie </w:t>
            </w:r>
            <w:r w:rsidR="004C539D">
              <w:rPr>
                <w:rFonts w:ascii="Times New Roman" w:hAnsi="Times New Roman"/>
              </w:rPr>
              <w:t xml:space="preserve">do </w:t>
            </w:r>
            <w:r w:rsidR="00934796">
              <w:rPr>
                <w:rFonts w:ascii="Times New Roman" w:hAnsi="Times New Roman"/>
              </w:rPr>
              <w:t>jednej</w:t>
            </w:r>
            <w:r w:rsidR="004B3C1E">
              <w:rPr>
                <w:rFonts w:ascii="Times New Roman" w:hAnsi="Times New Roman"/>
              </w:rPr>
              <w:t xml:space="preserve"> </w:t>
            </w:r>
            <w:r w:rsidR="004C539D">
              <w:rPr>
                <w:rFonts w:ascii="Times New Roman" w:hAnsi="Times New Roman"/>
              </w:rPr>
              <w:t xml:space="preserve">z </w:t>
            </w:r>
            <w:r w:rsidR="004B3C1E">
              <w:rPr>
                <w:rFonts w:ascii="Times New Roman" w:hAnsi="Times New Roman"/>
              </w:rPr>
              <w:t xml:space="preserve">kategorii </w:t>
            </w:r>
            <w:r w:rsidR="00934796">
              <w:rPr>
                <w:rFonts w:ascii="Times New Roman" w:hAnsi="Times New Roman"/>
              </w:rPr>
              <w:t xml:space="preserve">preferencji </w:t>
            </w:r>
            <w:r w:rsidR="004B3C1E">
              <w:rPr>
                <w:rFonts w:ascii="Times New Roman" w:hAnsi="Times New Roman"/>
              </w:rPr>
              <w:t>administracyjnych</w:t>
            </w:r>
            <w:r w:rsidR="00AD3916">
              <w:rPr>
                <w:rFonts w:ascii="Times New Roman" w:hAnsi="Times New Roman"/>
              </w:rPr>
              <w:t>;</w:t>
            </w:r>
          </w:p>
          <w:p w14:paraId="57B2D813" w14:textId="7AD99932" w:rsidR="00AD3916" w:rsidRDefault="00642B2F" w:rsidP="009F3719">
            <w:pPr>
              <w:pStyle w:val="Akapitzlist"/>
              <w:numPr>
                <w:ilvl w:val="0"/>
                <w:numId w:val="38"/>
              </w:numPr>
              <w:jc w:val="both"/>
              <w:rPr>
                <w:rFonts w:ascii="Times New Roman" w:hAnsi="Times New Roman"/>
              </w:rPr>
            </w:pPr>
            <w:r>
              <w:rPr>
                <w:rFonts w:ascii="Times New Roman" w:hAnsi="Times New Roman"/>
              </w:rPr>
              <w:t>b</w:t>
            </w:r>
            <w:r w:rsidR="00AD3916">
              <w:rPr>
                <w:rFonts w:ascii="Times New Roman" w:hAnsi="Times New Roman"/>
              </w:rPr>
              <w:t xml:space="preserve">rak </w:t>
            </w:r>
            <w:r w:rsidR="00CF0035">
              <w:rPr>
                <w:rFonts w:ascii="Times New Roman" w:hAnsi="Times New Roman"/>
              </w:rPr>
              <w:t xml:space="preserve">jednoznacznego </w:t>
            </w:r>
            <w:r w:rsidR="00AD3916">
              <w:rPr>
                <w:rFonts w:ascii="Times New Roman" w:hAnsi="Times New Roman"/>
              </w:rPr>
              <w:t xml:space="preserve">uregulowania </w:t>
            </w:r>
            <w:r w:rsidR="00CF0035">
              <w:rPr>
                <w:rFonts w:ascii="Times New Roman" w:hAnsi="Times New Roman"/>
              </w:rPr>
              <w:t xml:space="preserve">możliwości </w:t>
            </w:r>
            <w:r w:rsidR="003065DC">
              <w:rPr>
                <w:rFonts w:ascii="Times New Roman" w:hAnsi="Times New Roman"/>
              </w:rPr>
              <w:t>zmiany grupy limitowej dla leków nieposiadających wskazania takiej grupy w decyzji administracyjnej o objęciu refundacją i ustalenia ceny zbytu netto</w:t>
            </w:r>
            <w:r w:rsidR="002E47D9">
              <w:rPr>
                <w:rFonts w:ascii="Times New Roman" w:hAnsi="Times New Roman"/>
              </w:rPr>
              <w:t xml:space="preserve">, co powoduje niepewność wnioskodawców </w:t>
            </w:r>
            <w:r w:rsidR="00CF0035">
              <w:rPr>
                <w:rFonts w:ascii="Times New Roman" w:hAnsi="Times New Roman"/>
              </w:rPr>
              <w:t>czy istnieje i może zostać zastosowana</w:t>
            </w:r>
            <w:r w:rsidR="002E47D9">
              <w:rPr>
                <w:rFonts w:ascii="Times New Roman" w:hAnsi="Times New Roman"/>
              </w:rPr>
              <w:t xml:space="preserve"> procedur</w:t>
            </w:r>
            <w:r w:rsidR="00CF0035">
              <w:rPr>
                <w:rFonts w:ascii="Times New Roman" w:hAnsi="Times New Roman"/>
              </w:rPr>
              <w:t>a</w:t>
            </w:r>
            <w:r w:rsidR="002E47D9">
              <w:rPr>
                <w:rFonts w:ascii="Times New Roman" w:hAnsi="Times New Roman"/>
              </w:rPr>
              <w:t xml:space="preserve"> zmiany grupy limitowej dla ich produktu objętego refundacją</w:t>
            </w:r>
            <w:r w:rsidR="003065DC">
              <w:rPr>
                <w:rFonts w:ascii="Times New Roman" w:hAnsi="Times New Roman"/>
              </w:rPr>
              <w:t xml:space="preserve">; </w:t>
            </w:r>
          </w:p>
          <w:p w14:paraId="4DA83CF9" w14:textId="6305B6D3" w:rsidR="006605F8" w:rsidRDefault="00482975" w:rsidP="00715142">
            <w:pPr>
              <w:pStyle w:val="Akapitzlist"/>
              <w:numPr>
                <w:ilvl w:val="0"/>
                <w:numId w:val="38"/>
              </w:numPr>
              <w:jc w:val="both"/>
              <w:rPr>
                <w:rFonts w:ascii="Times New Roman" w:hAnsi="Times New Roman"/>
              </w:rPr>
            </w:pPr>
            <w:r>
              <w:rPr>
                <w:rFonts w:ascii="Times New Roman" w:hAnsi="Times New Roman"/>
              </w:rPr>
              <w:t>m</w:t>
            </w:r>
            <w:r w:rsidR="00715142" w:rsidRPr="00715142">
              <w:rPr>
                <w:rFonts w:ascii="Times New Roman" w:hAnsi="Times New Roman"/>
              </w:rPr>
              <w:t>ożliwa nieadekwatność analiz, o których mowa w art. 25 pkt 14 ustawy refundacyjnej, w związku z faktem ustalania treści programu lekowego przez Ministra Zdrowia dopiero po złożeniu wniosku o objęcie leku refundacją.</w:t>
            </w:r>
            <w:r w:rsidR="00715142">
              <w:rPr>
                <w:rFonts w:ascii="Times New Roman" w:hAnsi="Times New Roman"/>
              </w:rPr>
              <w:t xml:space="preserve"> </w:t>
            </w:r>
            <w:r w:rsidR="00715142" w:rsidRPr="00AB7441">
              <w:rPr>
                <w:rFonts w:ascii="Times New Roman" w:hAnsi="Times New Roman"/>
              </w:rPr>
              <w:t xml:space="preserve">Przygotowanie przedmiotowych analiz jest kosztowne i zajmuje niejednokrotnie kilka miesięcy, w związku z </w:t>
            </w:r>
            <w:r w:rsidR="00B4132E">
              <w:rPr>
                <w:rFonts w:ascii="Times New Roman" w:hAnsi="Times New Roman"/>
              </w:rPr>
              <w:t>czym</w:t>
            </w:r>
            <w:r w:rsidR="00715142" w:rsidRPr="00AB7441">
              <w:rPr>
                <w:rFonts w:ascii="Times New Roman" w:hAnsi="Times New Roman"/>
              </w:rPr>
              <w:t>, analizy przygotowywane są z dużym wyprzedzeniem w stosunku do złożenia wniosku, o którym mowa w art. 24 ust. 1 pkt 1 ustawy o refundacji.</w:t>
            </w:r>
            <w:r w:rsidR="00715142">
              <w:rPr>
                <w:rFonts w:ascii="Times New Roman" w:hAnsi="Times New Roman"/>
              </w:rPr>
              <w:t xml:space="preserve"> </w:t>
            </w:r>
            <w:r w:rsidR="00715142" w:rsidRPr="00AB7441">
              <w:rPr>
                <w:rFonts w:ascii="Times New Roman" w:hAnsi="Times New Roman"/>
              </w:rPr>
              <w:t xml:space="preserve">Zatem jeżeli Minister Zdrowia uzna, że jest zainteresowany inną treścią programu lekowego, to przedłożone wraz z wnioskiem refundacyjnym analizy stają się nieaktualne. Konieczność uzupełniania lub aktualizowania przedmiotowych analiz wiąże się ze zwiększeniem </w:t>
            </w:r>
            <w:r w:rsidR="00715142">
              <w:rPr>
                <w:rFonts w:ascii="Times New Roman" w:hAnsi="Times New Roman"/>
              </w:rPr>
              <w:t>wydatków</w:t>
            </w:r>
            <w:r w:rsidR="00715142" w:rsidRPr="00AB7441">
              <w:rPr>
                <w:rFonts w:ascii="Times New Roman" w:hAnsi="Times New Roman"/>
              </w:rPr>
              <w:t xml:space="preserve"> </w:t>
            </w:r>
            <w:r w:rsidR="00B4132E">
              <w:rPr>
                <w:rFonts w:ascii="Times New Roman" w:hAnsi="Times New Roman"/>
              </w:rPr>
              <w:t>w</w:t>
            </w:r>
            <w:r w:rsidR="00B4132E" w:rsidRPr="00AB7441">
              <w:rPr>
                <w:rFonts w:ascii="Times New Roman" w:hAnsi="Times New Roman"/>
              </w:rPr>
              <w:t xml:space="preserve">nioskodawcy </w:t>
            </w:r>
            <w:r w:rsidR="00715142" w:rsidRPr="00AB7441">
              <w:rPr>
                <w:rFonts w:ascii="Times New Roman" w:hAnsi="Times New Roman"/>
              </w:rPr>
              <w:t xml:space="preserve">ponoszonych na ich przygotowanie, jak również wpływa na przedłużanie czasu </w:t>
            </w:r>
            <w:r w:rsidR="00B4132E">
              <w:rPr>
                <w:rFonts w:ascii="Times New Roman" w:hAnsi="Times New Roman"/>
              </w:rPr>
              <w:t>prowadzenia</w:t>
            </w:r>
            <w:r w:rsidR="00B4132E" w:rsidRPr="00AB7441">
              <w:rPr>
                <w:rFonts w:ascii="Times New Roman" w:hAnsi="Times New Roman"/>
              </w:rPr>
              <w:t xml:space="preserve"> </w:t>
            </w:r>
            <w:r w:rsidR="00715142" w:rsidRPr="00AB7441">
              <w:rPr>
                <w:rFonts w:ascii="Times New Roman" w:hAnsi="Times New Roman"/>
              </w:rPr>
              <w:t>postępowań refundacyjnych.</w:t>
            </w:r>
            <w:r w:rsidR="00715142">
              <w:rPr>
                <w:rFonts w:ascii="Times New Roman" w:hAnsi="Times New Roman"/>
              </w:rPr>
              <w:t xml:space="preserve"> </w:t>
            </w:r>
            <w:r w:rsidR="00715142" w:rsidRPr="00AB7441">
              <w:rPr>
                <w:rFonts w:ascii="Times New Roman" w:hAnsi="Times New Roman"/>
              </w:rPr>
              <w:t xml:space="preserve">Ta sama niepewność dotyczy samego wskazania oraz możliwości zakwalifikowania danego leku do wybranej przez </w:t>
            </w:r>
            <w:r w:rsidR="00B4132E">
              <w:rPr>
                <w:rFonts w:ascii="Times New Roman" w:hAnsi="Times New Roman"/>
              </w:rPr>
              <w:t>w</w:t>
            </w:r>
            <w:r w:rsidR="00B4132E" w:rsidRPr="00AB7441">
              <w:rPr>
                <w:rFonts w:ascii="Times New Roman" w:hAnsi="Times New Roman"/>
              </w:rPr>
              <w:t xml:space="preserve">nioskodawcę </w:t>
            </w:r>
            <w:r w:rsidR="00715142" w:rsidRPr="00AB7441">
              <w:rPr>
                <w:rFonts w:ascii="Times New Roman" w:hAnsi="Times New Roman"/>
              </w:rPr>
              <w:t xml:space="preserve">kategorii dostępności </w:t>
            </w:r>
            <w:r>
              <w:rPr>
                <w:rFonts w:ascii="Times New Roman" w:hAnsi="Times New Roman"/>
              </w:rPr>
              <w:t>refundacyjnej;</w:t>
            </w:r>
          </w:p>
          <w:p w14:paraId="36E5BCEB" w14:textId="4D6D880D" w:rsidR="00217871" w:rsidRPr="00AB7441" w:rsidRDefault="00217871" w:rsidP="00715142">
            <w:pPr>
              <w:pStyle w:val="Akapitzlist"/>
              <w:numPr>
                <w:ilvl w:val="0"/>
                <w:numId w:val="38"/>
              </w:numPr>
              <w:jc w:val="both"/>
              <w:rPr>
                <w:rFonts w:ascii="Times New Roman" w:hAnsi="Times New Roman"/>
              </w:rPr>
            </w:pPr>
            <w:r>
              <w:rPr>
                <w:rFonts w:ascii="Times New Roman" w:hAnsi="Times New Roman"/>
              </w:rPr>
              <w:t>w praktyce prac Ministerstwa Zdrowia pojawiły się wątpliwości interpretacyjne odnośnie</w:t>
            </w:r>
            <w:r>
              <w:t xml:space="preserve"> </w:t>
            </w:r>
            <w:r w:rsidRPr="00217871">
              <w:rPr>
                <w:rFonts w:ascii="Times New Roman" w:hAnsi="Times New Roman"/>
              </w:rPr>
              <w:t xml:space="preserve">rozwiązań, które zostały wprowadzone w ustawie z dnia 17 sierpnia 2023 r. o zmianie ustawy o refundacji leków, środków spożywczych specjalnego przeznaczenia żywieniowego oraz wyrobów medycznych oraz niektórych innych ustaw </w:t>
            </w:r>
            <w:r w:rsidR="0024528B">
              <w:rPr>
                <w:rFonts w:ascii="Times New Roman" w:hAnsi="Times New Roman"/>
                <w:bCs/>
                <w:color w:val="000000"/>
                <w:spacing w:val="-2"/>
              </w:rPr>
              <w:t>i weszły w życie 1 listopada 2023 r.</w:t>
            </w:r>
            <w:r w:rsidRPr="00217871">
              <w:rPr>
                <w:rFonts w:ascii="Times New Roman" w:hAnsi="Times New Roman"/>
              </w:rPr>
              <w:t xml:space="preserve">, w zakresie </w:t>
            </w:r>
            <w:r>
              <w:rPr>
                <w:rFonts w:ascii="Times New Roman" w:hAnsi="Times New Roman"/>
              </w:rPr>
              <w:t xml:space="preserve">ważności </w:t>
            </w:r>
            <w:r w:rsidRPr="00217871">
              <w:rPr>
                <w:rFonts w:ascii="Times New Roman" w:hAnsi="Times New Roman"/>
              </w:rPr>
              <w:t xml:space="preserve">załączników, zawierający opis programu lekowego, </w:t>
            </w:r>
            <w:r>
              <w:rPr>
                <w:rFonts w:ascii="Times New Roman" w:hAnsi="Times New Roman"/>
              </w:rPr>
              <w:t xml:space="preserve">dołączanych </w:t>
            </w:r>
            <w:r w:rsidRPr="00217871">
              <w:rPr>
                <w:rFonts w:ascii="Times New Roman" w:hAnsi="Times New Roman"/>
              </w:rPr>
              <w:t>do decyzji administracyjnych o objęciu refundacją leku, środka spożywczego specjalnego przeznaczenia żywieniowego lub wyrobu medycznego w kategorii, o której mowa w art. 6 ust. 1 pkt 2 wydan</w:t>
            </w:r>
            <w:r>
              <w:rPr>
                <w:rFonts w:ascii="Times New Roman" w:hAnsi="Times New Roman"/>
              </w:rPr>
              <w:t xml:space="preserve">ych </w:t>
            </w:r>
            <w:r w:rsidRPr="00217871">
              <w:rPr>
                <w:rFonts w:ascii="Times New Roman" w:hAnsi="Times New Roman"/>
              </w:rPr>
              <w:t>przed 1 listopada 2023 r. Wątpliwości takie mogą blokować dokonywanie zmian w programach lekowych i utrudniać pacjentom dostęp do innowacyjnych terapii oraz modyfikowanie leczenia w ramach programu w uwzględnieniu najnowszych wytycznych klinicznych</w:t>
            </w:r>
            <w:r>
              <w:rPr>
                <w:rFonts w:ascii="Times New Roman" w:hAnsi="Times New Roman"/>
              </w:rPr>
              <w:t>;</w:t>
            </w:r>
          </w:p>
          <w:p w14:paraId="7A507C2A" w14:textId="1BF8645C" w:rsidR="00C66635" w:rsidRDefault="00CF0035" w:rsidP="009F3719">
            <w:pPr>
              <w:pStyle w:val="Akapitzlist"/>
              <w:numPr>
                <w:ilvl w:val="0"/>
                <w:numId w:val="38"/>
              </w:numPr>
              <w:jc w:val="both"/>
              <w:rPr>
                <w:rFonts w:ascii="Times New Roman" w:hAnsi="Times New Roman"/>
              </w:rPr>
            </w:pPr>
            <w:r>
              <w:rPr>
                <w:rFonts w:ascii="Times New Roman" w:hAnsi="Times New Roman"/>
              </w:rPr>
              <w:t xml:space="preserve">przypadki </w:t>
            </w:r>
            <w:r w:rsidR="00642B2F">
              <w:rPr>
                <w:rFonts w:ascii="Times New Roman" w:hAnsi="Times New Roman"/>
              </w:rPr>
              <w:t>b</w:t>
            </w:r>
            <w:r w:rsidR="00C66635">
              <w:rPr>
                <w:rFonts w:ascii="Times New Roman" w:hAnsi="Times New Roman"/>
              </w:rPr>
              <w:t>łędnie składan</w:t>
            </w:r>
            <w:r>
              <w:rPr>
                <w:rFonts w:ascii="Times New Roman" w:hAnsi="Times New Roman"/>
              </w:rPr>
              <w:t>ych</w:t>
            </w:r>
            <w:r w:rsidR="00C66635">
              <w:rPr>
                <w:rFonts w:ascii="Times New Roman" w:hAnsi="Times New Roman"/>
              </w:rPr>
              <w:t xml:space="preserve"> wniosk</w:t>
            </w:r>
            <w:r>
              <w:rPr>
                <w:rFonts w:ascii="Times New Roman" w:hAnsi="Times New Roman"/>
              </w:rPr>
              <w:t>ów refundacyjnych</w:t>
            </w:r>
            <w:r w:rsidR="00C66635">
              <w:rPr>
                <w:rFonts w:ascii="Times New Roman" w:hAnsi="Times New Roman"/>
              </w:rPr>
              <w:t xml:space="preserve"> ze wskazaną inn</w:t>
            </w:r>
            <w:r w:rsidR="00482975">
              <w:rPr>
                <w:rFonts w:ascii="Times New Roman" w:hAnsi="Times New Roman"/>
              </w:rPr>
              <w:t>ą</w:t>
            </w:r>
            <w:r w:rsidR="00C66635">
              <w:rPr>
                <w:rFonts w:ascii="Times New Roman" w:hAnsi="Times New Roman"/>
              </w:rPr>
              <w:t xml:space="preserve"> kategorią dostępności refundacyjnej </w:t>
            </w:r>
            <w:r w:rsidR="006A31E1">
              <w:rPr>
                <w:rFonts w:ascii="Times New Roman" w:hAnsi="Times New Roman"/>
              </w:rPr>
              <w:t xml:space="preserve">niż ta ustanowiona dla tego leku lub jego odpowiednika umieszczonego </w:t>
            </w:r>
            <w:r w:rsidR="004C539D">
              <w:rPr>
                <w:rFonts w:ascii="Times New Roman" w:hAnsi="Times New Roman"/>
              </w:rPr>
              <w:t>w</w:t>
            </w:r>
            <w:r w:rsidR="006A31E1">
              <w:rPr>
                <w:rFonts w:ascii="Times New Roman" w:hAnsi="Times New Roman"/>
              </w:rPr>
              <w:t xml:space="preserve"> wykazie, o którym mowa w art. 37 ust. 1 ustawy refundacyjnej, co ze względu na różne mechanizmy instrumentów dzielenia ryzyka mogące mieć zastosowanie w różnych kategoriach dostępności refundacyjnej</w:t>
            </w:r>
            <w:r>
              <w:rPr>
                <w:rFonts w:ascii="Times New Roman" w:hAnsi="Times New Roman"/>
              </w:rPr>
              <w:t>,</w:t>
            </w:r>
            <w:r w:rsidR="006A31E1">
              <w:rPr>
                <w:rFonts w:ascii="Times New Roman" w:hAnsi="Times New Roman"/>
              </w:rPr>
              <w:t xml:space="preserve"> spraw</w:t>
            </w:r>
            <w:r w:rsidR="00482975">
              <w:rPr>
                <w:rFonts w:ascii="Times New Roman" w:hAnsi="Times New Roman"/>
              </w:rPr>
              <w:t>i</w:t>
            </w:r>
            <w:r w:rsidR="006A31E1">
              <w:rPr>
                <w:rFonts w:ascii="Times New Roman" w:hAnsi="Times New Roman"/>
              </w:rPr>
              <w:t>a że nie można ustalić dla takiego leku ceny zbytu netto;</w:t>
            </w:r>
          </w:p>
          <w:p w14:paraId="2C27506A" w14:textId="232EE368" w:rsidR="006A31E1" w:rsidRDefault="00642B2F" w:rsidP="009F3719">
            <w:pPr>
              <w:pStyle w:val="Akapitzlist"/>
              <w:numPr>
                <w:ilvl w:val="0"/>
                <w:numId w:val="38"/>
              </w:numPr>
              <w:jc w:val="both"/>
              <w:rPr>
                <w:rFonts w:ascii="Times New Roman" w:hAnsi="Times New Roman"/>
              </w:rPr>
            </w:pPr>
            <w:r>
              <w:rPr>
                <w:rFonts w:ascii="Times New Roman" w:hAnsi="Times New Roman"/>
              </w:rPr>
              <w:t>w</w:t>
            </w:r>
            <w:r w:rsidR="006A31E1">
              <w:rPr>
                <w:rFonts w:ascii="Times New Roman" w:hAnsi="Times New Roman"/>
              </w:rPr>
              <w:t xml:space="preserve"> toku działania zespołów koordynacyjnych, o których mowa w art. 16b</w:t>
            </w:r>
            <w:r w:rsidR="00BF535C">
              <w:rPr>
                <w:rFonts w:ascii="Times New Roman" w:hAnsi="Times New Roman"/>
              </w:rPr>
              <w:t xml:space="preserve"> ustawy refundacyjnej,</w:t>
            </w:r>
            <w:r w:rsidR="006A31E1">
              <w:rPr>
                <w:rFonts w:ascii="Times New Roman" w:hAnsi="Times New Roman"/>
              </w:rPr>
              <w:t xml:space="preserve"> ujawniła się niepraktyczność </w:t>
            </w:r>
            <w:r w:rsidR="004C539D">
              <w:rPr>
                <w:rFonts w:ascii="Times New Roman" w:hAnsi="Times New Roman"/>
              </w:rPr>
              <w:t xml:space="preserve">przepisów </w:t>
            </w:r>
            <w:r w:rsidR="006A31E1">
              <w:rPr>
                <w:rFonts w:ascii="Times New Roman" w:hAnsi="Times New Roman"/>
              </w:rPr>
              <w:t>zobowiązujących</w:t>
            </w:r>
            <w:r w:rsidR="00CF0035">
              <w:rPr>
                <w:rFonts w:ascii="Times New Roman" w:hAnsi="Times New Roman"/>
              </w:rPr>
              <w:t xml:space="preserve"> </w:t>
            </w:r>
            <w:r w:rsidR="007C5BAB">
              <w:rPr>
                <w:rFonts w:ascii="Times New Roman" w:hAnsi="Times New Roman"/>
              </w:rPr>
              <w:t xml:space="preserve">te zespoły </w:t>
            </w:r>
            <w:r w:rsidR="00CF0035">
              <w:rPr>
                <w:rFonts w:ascii="Times New Roman" w:hAnsi="Times New Roman"/>
              </w:rPr>
              <w:t>do</w:t>
            </w:r>
            <w:r w:rsidR="006A31E1">
              <w:rPr>
                <w:rFonts w:ascii="Times New Roman" w:hAnsi="Times New Roman"/>
              </w:rPr>
              <w:t xml:space="preserve"> składania </w:t>
            </w:r>
            <w:r w:rsidR="006A31E1" w:rsidRPr="006A31E1">
              <w:rPr>
                <w:rFonts w:ascii="Times New Roman" w:hAnsi="Times New Roman"/>
              </w:rPr>
              <w:t xml:space="preserve">półrocznych raportów do Prezesa </w:t>
            </w:r>
            <w:r w:rsidR="00BF535C">
              <w:rPr>
                <w:rFonts w:ascii="Times New Roman" w:hAnsi="Times New Roman"/>
              </w:rPr>
              <w:t>NFZ</w:t>
            </w:r>
            <w:r w:rsidR="00BF535C" w:rsidRPr="006A31E1">
              <w:rPr>
                <w:rFonts w:ascii="Times New Roman" w:hAnsi="Times New Roman"/>
              </w:rPr>
              <w:t xml:space="preserve"> </w:t>
            </w:r>
            <w:r w:rsidR="006A31E1" w:rsidRPr="006A31E1">
              <w:rPr>
                <w:rFonts w:ascii="Times New Roman" w:hAnsi="Times New Roman"/>
              </w:rPr>
              <w:t>z realizacji danego programu lekowego</w:t>
            </w:r>
            <w:r w:rsidR="006A31E1">
              <w:rPr>
                <w:rFonts w:ascii="Times New Roman" w:hAnsi="Times New Roman"/>
              </w:rPr>
              <w:t>, ponieważ taki okres jest za krótki, aby dane</w:t>
            </w:r>
            <w:r w:rsidR="007C5BAB">
              <w:rPr>
                <w:rFonts w:ascii="Times New Roman" w:hAnsi="Times New Roman"/>
              </w:rPr>
              <w:t>,</w:t>
            </w:r>
            <w:r w:rsidR="006A31E1">
              <w:rPr>
                <w:rFonts w:ascii="Times New Roman" w:hAnsi="Times New Roman"/>
              </w:rPr>
              <w:t xml:space="preserve"> na podstawie których przygotowany był raport</w:t>
            </w:r>
            <w:r w:rsidR="007C5BAB">
              <w:rPr>
                <w:rFonts w:ascii="Times New Roman" w:hAnsi="Times New Roman"/>
              </w:rPr>
              <w:t>,</w:t>
            </w:r>
            <w:r w:rsidR="006A31E1">
              <w:rPr>
                <w:rFonts w:ascii="Times New Roman" w:hAnsi="Times New Roman"/>
              </w:rPr>
              <w:t xml:space="preserve"> mogły służyć do wyciągania wniosków nieobarczonych błędem;</w:t>
            </w:r>
          </w:p>
          <w:p w14:paraId="362C77A3" w14:textId="701AED88" w:rsidR="000307CA" w:rsidRDefault="007C5BAB" w:rsidP="009F3719">
            <w:pPr>
              <w:pStyle w:val="Akapitzlist"/>
              <w:numPr>
                <w:ilvl w:val="0"/>
                <w:numId w:val="38"/>
              </w:numPr>
              <w:jc w:val="both"/>
              <w:rPr>
                <w:rFonts w:ascii="Times New Roman" w:hAnsi="Times New Roman"/>
              </w:rPr>
            </w:pPr>
            <w:r>
              <w:rPr>
                <w:rFonts w:ascii="Times New Roman" w:hAnsi="Times New Roman"/>
              </w:rPr>
              <w:t>w</w:t>
            </w:r>
            <w:r w:rsidR="00D87933">
              <w:rPr>
                <w:rFonts w:ascii="Times New Roman" w:hAnsi="Times New Roman"/>
              </w:rPr>
              <w:t xml:space="preserve"> praktyce stosowania </w:t>
            </w:r>
            <w:r w:rsidR="00D11E4F">
              <w:rPr>
                <w:rFonts w:ascii="Times New Roman" w:hAnsi="Times New Roman"/>
              </w:rPr>
              <w:t xml:space="preserve">art. 18a ustawy refundacyjnej </w:t>
            </w:r>
            <w:r>
              <w:rPr>
                <w:rFonts w:ascii="Times New Roman" w:hAnsi="Times New Roman"/>
              </w:rPr>
              <w:t>uwidoczniły się</w:t>
            </w:r>
            <w:r w:rsidR="00D11E4F">
              <w:rPr>
                <w:rFonts w:ascii="Times New Roman" w:hAnsi="Times New Roman"/>
              </w:rPr>
              <w:t xml:space="preserve"> mankamenty tego przepisu wynikające z braku możliwości </w:t>
            </w:r>
            <w:r w:rsidR="00C25630">
              <w:rPr>
                <w:rFonts w:ascii="Times New Roman" w:hAnsi="Times New Roman"/>
              </w:rPr>
              <w:t xml:space="preserve">modyfikowania wniosku </w:t>
            </w:r>
            <w:r>
              <w:rPr>
                <w:rFonts w:ascii="Times New Roman" w:hAnsi="Times New Roman"/>
              </w:rPr>
              <w:t xml:space="preserve">refundacyjnego </w:t>
            </w:r>
            <w:r w:rsidR="00C25630">
              <w:rPr>
                <w:rFonts w:ascii="Times New Roman" w:hAnsi="Times New Roman"/>
              </w:rPr>
              <w:t>po</w:t>
            </w:r>
            <w:r w:rsidR="00C25630" w:rsidRPr="00C25630">
              <w:rPr>
                <w:rFonts w:ascii="Times New Roman" w:hAnsi="Times New Roman"/>
              </w:rPr>
              <w:t xml:space="preserve"> uchwa</w:t>
            </w:r>
            <w:r w:rsidR="00C25630">
              <w:rPr>
                <w:rFonts w:ascii="Times New Roman" w:hAnsi="Times New Roman"/>
              </w:rPr>
              <w:t xml:space="preserve">le Komisji Ekonomicznej oraz </w:t>
            </w:r>
            <w:r>
              <w:rPr>
                <w:rFonts w:ascii="Times New Roman" w:hAnsi="Times New Roman"/>
              </w:rPr>
              <w:t xml:space="preserve">w zakresie </w:t>
            </w:r>
            <w:r w:rsidR="00C25630">
              <w:rPr>
                <w:rFonts w:ascii="Times New Roman" w:hAnsi="Times New Roman"/>
              </w:rPr>
              <w:t xml:space="preserve">sposobu prowadzenia dodatkowych negocjacji przez </w:t>
            </w:r>
            <w:r w:rsidR="00C625D6">
              <w:rPr>
                <w:rFonts w:ascii="Times New Roman" w:hAnsi="Times New Roman"/>
              </w:rPr>
              <w:t>M</w:t>
            </w:r>
            <w:r w:rsidR="00C25630">
              <w:rPr>
                <w:rFonts w:ascii="Times New Roman" w:hAnsi="Times New Roman"/>
              </w:rPr>
              <w:t xml:space="preserve">inistra </w:t>
            </w:r>
            <w:r w:rsidR="00C625D6">
              <w:rPr>
                <w:rFonts w:ascii="Times New Roman" w:hAnsi="Times New Roman"/>
              </w:rPr>
              <w:t>Z</w:t>
            </w:r>
            <w:r w:rsidR="00C25630">
              <w:rPr>
                <w:rFonts w:ascii="Times New Roman" w:hAnsi="Times New Roman"/>
              </w:rPr>
              <w:t xml:space="preserve">drowia, co </w:t>
            </w:r>
            <w:r w:rsidR="0019086E">
              <w:rPr>
                <w:rFonts w:ascii="Times New Roman" w:hAnsi="Times New Roman"/>
              </w:rPr>
              <w:t xml:space="preserve">skutkowało </w:t>
            </w:r>
            <w:r w:rsidR="00C25630">
              <w:rPr>
                <w:rFonts w:ascii="Times New Roman" w:hAnsi="Times New Roman"/>
              </w:rPr>
              <w:t>koniecznoś</w:t>
            </w:r>
            <w:r w:rsidR="0019086E">
              <w:rPr>
                <w:rFonts w:ascii="Times New Roman" w:hAnsi="Times New Roman"/>
              </w:rPr>
              <w:t>cią składania</w:t>
            </w:r>
            <w:r w:rsidR="00C25630">
              <w:rPr>
                <w:rFonts w:ascii="Times New Roman" w:hAnsi="Times New Roman"/>
              </w:rPr>
              <w:t xml:space="preserve"> przez </w:t>
            </w:r>
            <w:r>
              <w:rPr>
                <w:rFonts w:ascii="Times New Roman" w:hAnsi="Times New Roman"/>
              </w:rPr>
              <w:t>w</w:t>
            </w:r>
            <w:r w:rsidR="00C25630">
              <w:rPr>
                <w:rFonts w:ascii="Times New Roman" w:hAnsi="Times New Roman"/>
              </w:rPr>
              <w:t>nioskodawców wniosk</w:t>
            </w:r>
            <w:r w:rsidR="0019086E">
              <w:rPr>
                <w:rFonts w:ascii="Times New Roman" w:hAnsi="Times New Roman"/>
              </w:rPr>
              <w:t>ów</w:t>
            </w:r>
            <w:r w:rsidR="00C25630">
              <w:rPr>
                <w:rFonts w:ascii="Times New Roman" w:hAnsi="Times New Roman"/>
              </w:rPr>
              <w:t xml:space="preserve"> o umorzenie postępowania albo zmianę wydanej decyzji administracyjnej;</w:t>
            </w:r>
          </w:p>
          <w:p w14:paraId="09F72DCE" w14:textId="71DAF1FB" w:rsidR="00C25630" w:rsidRDefault="007C5BAB" w:rsidP="009F3719">
            <w:pPr>
              <w:pStyle w:val="Akapitzlist"/>
              <w:numPr>
                <w:ilvl w:val="0"/>
                <w:numId w:val="38"/>
              </w:numPr>
              <w:jc w:val="both"/>
              <w:rPr>
                <w:rFonts w:ascii="Times New Roman" w:hAnsi="Times New Roman"/>
              </w:rPr>
            </w:pPr>
            <w:r>
              <w:rPr>
                <w:rFonts w:ascii="Times New Roman" w:hAnsi="Times New Roman"/>
              </w:rPr>
              <w:t>n</w:t>
            </w:r>
            <w:r w:rsidR="00C25630">
              <w:rPr>
                <w:rFonts w:ascii="Times New Roman" w:hAnsi="Times New Roman"/>
              </w:rPr>
              <w:t>admierne obostrzenia formalne i proceduralne dla wniosków o podwyższenie ceny zbytu ne</w:t>
            </w:r>
            <w:r w:rsidR="00BF535C">
              <w:rPr>
                <w:rFonts w:ascii="Times New Roman" w:hAnsi="Times New Roman"/>
              </w:rPr>
              <w:t>t</w:t>
            </w:r>
            <w:r w:rsidR="00C25630">
              <w:rPr>
                <w:rFonts w:ascii="Times New Roman" w:hAnsi="Times New Roman"/>
              </w:rPr>
              <w:t>to</w:t>
            </w:r>
            <w:r>
              <w:rPr>
                <w:rFonts w:ascii="Times New Roman" w:hAnsi="Times New Roman"/>
              </w:rPr>
              <w:t>, które</w:t>
            </w:r>
            <w:r w:rsidR="00C25630">
              <w:rPr>
                <w:rFonts w:ascii="Times New Roman" w:hAnsi="Times New Roman"/>
              </w:rPr>
              <w:t xml:space="preserve"> powodowały, że wnioskodawcy nie byli w stanie im podołać, a co za tym idzie produkty</w:t>
            </w:r>
            <w:r w:rsidR="0019086E">
              <w:rPr>
                <w:rFonts w:ascii="Times New Roman" w:hAnsi="Times New Roman"/>
              </w:rPr>
              <w:t xml:space="preserve"> bywały</w:t>
            </w:r>
            <w:r w:rsidR="00C25630">
              <w:rPr>
                <w:rFonts w:ascii="Times New Roman" w:hAnsi="Times New Roman"/>
              </w:rPr>
              <w:t xml:space="preserve"> usuwane</w:t>
            </w:r>
            <w:r w:rsidR="0019086E">
              <w:rPr>
                <w:rFonts w:ascii="Times New Roman" w:hAnsi="Times New Roman"/>
              </w:rPr>
              <w:t xml:space="preserve"> przez wnioskodawców</w:t>
            </w:r>
            <w:r w:rsidR="00C25630">
              <w:rPr>
                <w:rFonts w:ascii="Times New Roman" w:hAnsi="Times New Roman"/>
              </w:rPr>
              <w:t xml:space="preserve"> z systemu refundacyjnego utrudniając pacjentom do nich dostęp;</w:t>
            </w:r>
          </w:p>
          <w:p w14:paraId="31522595" w14:textId="58D6D948" w:rsidR="00C25630" w:rsidRDefault="007C5BAB" w:rsidP="009F3719">
            <w:pPr>
              <w:pStyle w:val="Akapitzlist"/>
              <w:numPr>
                <w:ilvl w:val="0"/>
                <w:numId w:val="38"/>
              </w:numPr>
              <w:jc w:val="both"/>
              <w:rPr>
                <w:rFonts w:ascii="Times New Roman" w:hAnsi="Times New Roman"/>
              </w:rPr>
            </w:pPr>
            <w:r>
              <w:rPr>
                <w:rFonts w:ascii="Times New Roman" w:hAnsi="Times New Roman"/>
              </w:rPr>
              <w:t>w</w:t>
            </w:r>
            <w:r w:rsidR="00A86416">
              <w:rPr>
                <w:rFonts w:ascii="Times New Roman" w:hAnsi="Times New Roman"/>
              </w:rPr>
              <w:t xml:space="preserve"> toku stosowania przepisów ustawy refundacyjnej </w:t>
            </w:r>
            <w:r w:rsidR="004C539D">
              <w:rPr>
                <w:rFonts w:ascii="Times New Roman" w:hAnsi="Times New Roman"/>
              </w:rPr>
              <w:t>ujawnił</w:t>
            </w:r>
            <w:r w:rsidR="00A86416">
              <w:rPr>
                <w:rFonts w:ascii="Times New Roman" w:hAnsi="Times New Roman"/>
              </w:rPr>
              <w:t xml:space="preserve"> się problem br</w:t>
            </w:r>
            <w:r>
              <w:rPr>
                <w:rFonts w:ascii="Times New Roman" w:hAnsi="Times New Roman"/>
              </w:rPr>
              <w:t>a</w:t>
            </w:r>
            <w:r w:rsidR="00A86416">
              <w:rPr>
                <w:rFonts w:ascii="Times New Roman" w:hAnsi="Times New Roman"/>
              </w:rPr>
              <w:t xml:space="preserve">ku możliwości zaplanowania </w:t>
            </w:r>
            <w:r>
              <w:rPr>
                <w:rFonts w:ascii="Times New Roman" w:hAnsi="Times New Roman"/>
              </w:rPr>
              <w:t xml:space="preserve">precyzyjnie </w:t>
            </w:r>
            <w:r w:rsidR="00A86416">
              <w:rPr>
                <w:rFonts w:ascii="Times New Roman" w:hAnsi="Times New Roman"/>
              </w:rPr>
              <w:t>wydatkowania środków</w:t>
            </w:r>
            <w:r w:rsidR="00611264">
              <w:rPr>
                <w:rFonts w:ascii="Times New Roman" w:hAnsi="Times New Roman"/>
              </w:rPr>
              <w:t xml:space="preserve"> finansowych</w:t>
            </w:r>
            <w:r w:rsidR="00A86416">
              <w:rPr>
                <w:rFonts w:ascii="Times New Roman" w:hAnsi="Times New Roman"/>
              </w:rPr>
              <w:t xml:space="preserve"> </w:t>
            </w:r>
            <w:r w:rsidR="00611264">
              <w:rPr>
                <w:rFonts w:ascii="Times New Roman" w:hAnsi="Times New Roman"/>
              </w:rPr>
              <w:t>będących w całkowitym budżecie na refundację ze względu na brak wiedzy</w:t>
            </w:r>
            <w:r>
              <w:rPr>
                <w:rFonts w:ascii="Times New Roman" w:hAnsi="Times New Roman"/>
              </w:rPr>
              <w:t>,</w:t>
            </w:r>
            <w:r w:rsidR="00611264">
              <w:rPr>
                <w:rFonts w:ascii="Times New Roman" w:hAnsi="Times New Roman"/>
              </w:rPr>
              <w:t xml:space="preserve"> jakie wnioski zostaną złożone, a w związku z tym </w:t>
            </w:r>
            <w:r w:rsidR="003C2DC5">
              <w:rPr>
                <w:rFonts w:ascii="Times New Roman" w:hAnsi="Times New Roman"/>
              </w:rPr>
              <w:t xml:space="preserve">niemożliwe jest szacowanie </w:t>
            </w:r>
            <w:r w:rsidR="00611264">
              <w:rPr>
                <w:rFonts w:ascii="Times New Roman" w:hAnsi="Times New Roman"/>
              </w:rPr>
              <w:t xml:space="preserve">jakie potencjalne </w:t>
            </w:r>
            <w:r>
              <w:rPr>
                <w:rFonts w:ascii="Times New Roman" w:hAnsi="Times New Roman"/>
              </w:rPr>
              <w:t>produkty</w:t>
            </w:r>
            <w:r w:rsidR="003C2DC5">
              <w:rPr>
                <w:rFonts w:ascii="Times New Roman" w:hAnsi="Times New Roman"/>
              </w:rPr>
              <w:t xml:space="preserve"> i o jakim koszcie</w:t>
            </w:r>
            <w:r w:rsidR="00611264">
              <w:rPr>
                <w:rFonts w:ascii="Times New Roman" w:hAnsi="Times New Roman"/>
              </w:rPr>
              <w:t xml:space="preserve"> mogą zostać włączone do systemu refundacji;</w:t>
            </w:r>
          </w:p>
          <w:p w14:paraId="0A116A3A" w14:textId="455A8A74" w:rsidR="00611264" w:rsidRDefault="007C5BAB" w:rsidP="009F3719">
            <w:pPr>
              <w:pStyle w:val="Akapitzlist"/>
              <w:numPr>
                <w:ilvl w:val="0"/>
                <w:numId w:val="38"/>
              </w:numPr>
              <w:jc w:val="both"/>
              <w:rPr>
                <w:rFonts w:ascii="Times New Roman" w:hAnsi="Times New Roman"/>
              </w:rPr>
            </w:pPr>
            <w:r>
              <w:rPr>
                <w:rFonts w:ascii="Times New Roman" w:hAnsi="Times New Roman"/>
              </w:rPr>
              <w:t>w</w:t>
            </w:r>
            <w:r w:rsidR="00DF3E8E">
              <w:rPr>
                <w:rFonts w:ascii="Times New Roman" w:hAnsi="Times New Roman"/>
              </w:rPr>
              <w:t xml:space="preserve"> związku z częstymi wnioskami o rozszerzenie wskazania dla leku już znajdującego się </w:t>
            </w:r>
            <w:r w:rsidR="004C539D">
              <w:rPr>
                <w:rFonts w:ascii="Times New Roman" w:hAnsi="Times New Roman"/>
              </w:rPr>
              <w:t xml:space="preserve">w </w:t>
            </w:r>
            <w:r w:rsidR="00DF3E8E">
              <w:rPr>
                <w:rFonts w:ascii="Times New Roman" w:hAnsi="Times New Roman"/>
              </w:rPr>
              <w:t>wykazie, o którym mowa art. 37 ust. 1 ustawy refundacyjnej</w:t>
            </w:r>
            <w:r w:rsidR="00422E99">
              <w:rPr>
                <w:rFonts w:ascii="Times New Roman" w:hAnsi="Times New Roman"/>
              </w:rPr>
              <w:t>,</w:t>
            </w:r>
            <w:r w:rsidR="00DF3E8E">
              <w:rPr>
                <w:rFonts w:ascii="Times New Roman" w:hAnsi="Times New Roman"/>
              </w:rPr>
              <w:t xml:space="preserve"> wnioskodawca musi złożyć wniosek o skrócenie już obowiązującej decyzji, który trzeba opłacić i przeproce</w:t>
            </w:r>
            <w:r w:rsidR="00422E99">
              <w:rPr>
                <w:rFonts w:ascii="Times New Roman" w:hAnsi="Times New Roman"/>
              </w:rPr>
              <w:t>d</w:t>
            </w:r>
            <w:r w:rsidR="00DF3E8E">
              <w:rPr>
                <w:rFonts w:ascii="Times New Roman" w:hAnsi="Times New Roman"/>
              </w:rPr>
              <w:t xml:space="preserve">ować, co stanowi w rzeczywistości wydłużenie czasu </w:t>
            </w:r>
            <w:r w:rsidR="009A4658">
              <w:rPr>
                <w:rFonts w:ascii="Times New Roman" w:hAnsi="Times New Roman"/>
              </w:rPr>
              <w:t>rozpatrzenia</w:t>
            </w:r>
            <w:r w:rsidR="00DF3E8E">
              <w:rPr>
                <w:rFonts w:ascii="Times New Roman" w:hAnsi="Times New Roman"/>
              </w:rPr>
              <w:t xml:space="preserve"> wniosku </w:t>
            </w:r>
            <w:r w:rsidR="00422E99">
              <w:rPr>
                <w:rFonts w:ascii="Times New Roman" w:hAnsi="Times New Roman"/>
              </w:rPr>
              <w:t>refundacyjnego</w:t>
            </w:r>
            <w:r w:rsidR="00DF3E8E">
              <w:rPr>
                <w:rFonts w:ascii="Times New Roman" w:hAnsi="Times New Roman"/>
              </w:rPr>
              <w:t xml:space="preserve"> oraz dodatkowe koszty dla wnioskodawcy;</w:t>
            </w:r>
          </w:p>
          <w:p w14:paraId="3ADD38EB" w14:textId="1A9660AA" w:rsidR="00DF3E8E" w:rsidRDefault="00422E99" w:rsidP="009F3719">
            <w:pPr>
              <w:pStyle w:val="Akapitzlist"/>
              <w:numPr>
                <w:ilvl w:val="0"/>
                <w:numId w:val="38"/>
              </w:numPr>
              <w:jc w:val="both"/>
              <w:rPr>
                <w:rFonts w:ascii="Times New Roman" w:hAnsi="Times New Roman"/>
              </w:rPr>
            </w:pPr>
            <w:r>
              <w:rPr>
                <w:rFonts w:ascii="Times New Roman" w:hAnsi="Times New Roman"/>
              </w:rPr>
              <w:t xml:space="preserve">zbyt szeroki zakres </w:t>
            </w:r>
            <w:r w:rsidR="0060660B">
              <w:rPr>
                <w:rFonts w:ascii="Times New Roman" w:hAnsi="Times New Roman"/>
              </w:rPr>
              <w:t>tajemnic</w:t>
            </w:r>
            <w:r>
              <w:rPr>
                <w:rFonts w:ascii="Times New Roman" w:hAnsi="Times New Roman"/>
              </w:rPr>
              <w:t>y</w:t>
            </w:r>
            <w:r w:rsidR="0060660B">
              <w:rPr>
                <w:rFonts w:ascii="Times New Roman" w:hAnsi="Times New Roman"/>
              </w:rPr>
              <w:t xml:space="preserve"> refundacyjn</w:t>
            </w:r>
            <w:r>
              <w:rPr>
                <w:rFonts w:ascii="Times New Roman" w:hAnsi="Times New Roman"/>
              </w:rPr>
              <w:t>ej,</w:t>
            </w:r>
            <w:r w:rsidR="0060660B">
              <w:rPr>
                <w:rFonts w:ascii="Times New Roman" w:hAnsi="Times New Roman"/>
              </w:rPr>
              <w:t xml:space="preserve"> co bardzo utrudnia informowanie opinii publicznej o przebiegu postępowań toczących się na postawie ustawy refundacyjnej. Dodatkowo wnioskodawcy wskazują na konieczność doprecyzowania przepisu </w:t>
            </w:r>
            <w:r>
              <w:rPr>
                <w:rFonts w:ascii="Times New Roman" w:hAnsi="Times New Roman"/>
              </w:rPr>
              <w:t>stanowiącego</w:t>
            </w:r>
            <w:r w:rsidR="0060660B">
              <w:rPr>
                <w:rFonts w:ascii="Times New Roman" w:hAnsi="Times New Roman"/>
              </w:rPr>
              <w:t xml:space="preserve"> o zakresie przekazywania informacji o instrumencie dzielenia ryzyka;</w:t>
            </w:r>
          </w:p>
          <w:p w14:paraId="519C60D7" w14:textId="3D7E622D" w:rsidR="0060660B" w:rsidRDefault="00642B2F" w:rsidP="009F3719">
            <w:pPr>
              <w:pStyle w:val="Akapitzlist"/>
              <w:numPr>
                <w:ilvl w:val="0"/>
                <w:numId w:val="38"/>
              </w:numPr>
              <w:jc w:val="both"/>
              <w:rPr>
                <w:rFonts w:ascii="Times New Roman" w:hAnsi="Times New Roman"/>
              </w:rPr>
            </w:pPr>
            <w:r>
              <w:rPr>
                <w:rFonts w:ascii="Times New Roman" w:hAnsi="Times New Roman"/>
              </w:rPr>
              <w:t>w</w:t>
            </w:r>
            <w:r w:rsidR="005956DA">
              <w:rPr>
                <w:rFonts w:ascii="Times New Roman" w:hAnsi="Times New Roman"/>
              </w:rPr>
              <w:t xml:space="preserve"> toku stosowania przepisów dotyczących procedowania wniosków o obniżenie ceny zbytu netto</w:t>
            </w:r>
            <w:r w:rsidR="00422E99">
              <w:rPr>
                <w:rFonts w:ascii="Times New Roman" w:hAnsi="Times New Roman"/>
              </w:rPr>
              <w:t>,</w:t>
            </w:r>
            <w:r w:rsidR="005956DA">
              <w:rPr>
                <w:rFonts w:ascii="Times New Roman" w:hAnsi="Times New Roman"/>
              </w:rPr>
              <w:t xml:space="preserve"> </w:t>
            </w:r>
            <w:r w:rsidR="00422E99">
              <w:rPr>
                <w:rFonts w:ascii="Times New Roman" w:hAnsi="Times New Roman"/>
              </w:rPr>
              <w:t>uwidocznił się</w:t>
            </w:r>
            <w:r w:rsidR="005956DA">
              <w:rPr>
                <w:rFonts w:ascii="Times New Roman" w:hAnsi="Times New Roman"/>
              </w:rPr>
              <w:t xml:space="preserve"> problem wnioskodawców z określeniem ostatniego możliwego dnia na złożenie wniosku, aby zmiany po ewentualnym pozytywnym rozstrzygnięciu znalazły swoje odzwierciedlenie </w:t>
            </w:r>
            <w:r w:rsidR="00404501">
              <w:rPr>
                <w:rFonts w:ascii="Times New Roman" w:hAnsi="Times New Roman"/>
              </w:rPr>
              <w:t xml:space="preserve">w </w:t>
            </w:r>
            <w:r w:rsidR="005956DA">
              <w:rPr>
                <w:rFonts w:ascii="Times New Roman" w:hAnsi="Times New Roman"/>
              </w:rPr>
              <w:t>wykazie, o którym mowa w art. 37 ust. 1 ustawy refundacyjnej, ponieważ uzależnione to było od dnia ogłoszenia takiego wykazu</w:t>
            </w:r>
            <w:r w:rsidR="00391B92">
              <w:rPr>
                <w:rFonts w:ascii="Times New Roman" w:hAnsi="Times New Roman"/>
              </w:rPr>
              <w:t>;</w:t>
            </w:r>
          </w:p>
          <w:p w14:paraId="19DB4046" w14:textId="56AEA539" w:rsidR="00391B92" w:rsidRDefault="00642B2F" w:rsidP="009F3719">
            <w:pPr>
              <w:pStyle w:val="Akapitzlist"/>
              <w:numPr>
                <w:ilvl w:val="0"/>
                <w:numId w:val="38"/>
              </w:numPr>
              <w:jc w:val="both"/>
              <w:rPr>
                <w:rFonts w:ascii="Times New Roman" w:hAnsi="Times New Roman"/>
              </w:rPr>
            </w:pPr>
            <w:r>
              <w:rPr>
                <w:rFonts w:ascii="Times New Roman" w:hAnsi="Times New Roman"/>
              </w:rPr>
              <w:t>o</w:t>
            </w:r>
            <w:r w:rsidR="008413DF">
              <w:rPr>
                <w:rFonts w:ascii="Times New Roman" w:hAnsi="Times New Roman"/>
              </w:rPr>
              <w:t xml:space="preserve">becna procedura zakładania konta w SOLR dla </w:t>
            </w:r>
            <w:r w:rsidR="00422E99">
              <w:rPr>
                <w:rFonts w:ascii="Times New Roman" w:hAnsi="Times New Roman"/>
              </w:rPr>
              <w:t>w</w:t>
            </w:r>
            <w:r w:rsidR="008413DF">
              <w:rPr>
                <w:rFonts w:ascii="Times New Roman" w:hAnsi="Times New Roman"/>
              </w:rPr>
              <w:t xml:space="preserve">nioskodawcy jest nieadekwatna </w:t>
            </w:r>
            <w:r w:rsidR="00422E99">
              <w:rPr>
                <w:rFonts w:ascii="Times New Roman" w:hAnsi="Times New Roman"/>
              </w:rPr>
              <w:t>do</w:t>
            </w:r>
            <w:r w:rsidR="008413DF">
              <w:rPr>
                <w:rFonts w:ascii="Times New Roman" w:hAnsi="Times New Roman"/>
              </w:rPr>
              <w:t xml:space="preserve"> obecnych możliwościach</w:t>
            </w:r>
            <w:r w:rsidR="00422E99">
              <w:rPr>
                <w:rFonts w:ascii="Times New Roman" w:hAnsi="Times New Roman"/>
              </w:rPr>
              <w:t xml:space="preserve"> technicznych</w:t>
            </w:r>
            <w:r w:rsidR="008413DF">
              <w:rPr>
                <w:rFonts w:ascii="Times New Roman" w:hAnsi="Times New Roman"/>
              </w:rPr>
              <w:t xml:space="preserve">, </w:t>
            </w:r>
            <w:r w:rsidR="00422E99">
              <w:rPr>
                <w:rFonts w:ascii="Times New Roman" w:hAnsi="Times New Roman"/>
              </w:rPr>
              <w:t xml:space="preserve">procedura ta wymaga zwiększenia stopnia </w:t>
            </w:r>
            <w:r w:rsidR="008413DF">
              <w:rPr>
                <w:rFonts w:ascii="Times New Roman" w:hAnsi="Times New Roman"/>
              </w:rPr>
              <w:t xml:space="preserve">zabezpieczenia danych </w:t>
            </w:r>
            <w:r w:rsidR="00422E99">
              <w:rPr>
                <w:rFonts w:ascii="Times New Roman" w:hAnsi="Times New Roman"/>
              </w:rPr>
              <w:t>przetwarzanych w tym systemie;</w:t>
            </w:r>
          </w:p>
          <w:p w14:paraId="45460FB9" w14:textId="3015E8CD" w:rsidR="008413DF" w:rsidRDefault="00642B2F" w:rsidP="009F3719">
            <w:pPr>
              <w:pStyle w:val="Akapitzlist"/>
              <w:numPr>
                <w:ilvl w:val="0"/>
                <w:numId w:val="38"/>
              </w:numPr>
              <w:jc w:val="both"/>
              <w:rPr>
                <w:rFonts w:ascii="Times New Roman" w:hAnsi="Times New Roman"/>
              </w:rPr>
            </w:pPr>
            <w:r>
              <w:rPr>
                <w:rFonts w:ascii="Times New Roman" w:hAnsi="Times New Roman"/>
              </w:rPr>
              <w:t>obowiązujące</w:t>
            </w:r>
            <w:r w:rsidR="008413DF">
              <w:rPr>
                <w:rFonts w:ascii="Times New Roman" w:hAnsi="Times New Roman"/>
              </w:rPr>
              <w:t xml:space="preserve"> brzmienie przepisów o nakładaniu kar za niewywiązani</w:t>
            </w:r>
            <w:r w:rsidR="00BF535C">
              <w:rPr>
                <w:rFonts w:ascii="Times New Roman" w:hAnsi="Times New Roman"/>
              </w:rPr>
              <w:t>e</w:t>
            </w:r>
            <w:r w:rsidR="008413DF">
              <w:rPr>
                <w:rFonts w:ascii="Times New Roman" w:hAnsi="Times New Roman"/>
              </w:rPr>
              <w:t xml:space="preserve"> się przez wnioskodawcę z zobowiązania </w:t>
            </w:r>
            <w:r w:rsidR="008413DF" w:rsidRPr="008413DF">
              <w:rPr>
                <w:rFonts w:ascii="Times New Roman" w:hAnsi="Times New Roman"/>
              </w:rPr>
              <w:t>w zakresie dotyczącym rocznej wielkości dostaw lub ciągłości dostaw</w:t>
            </w:r>
            <w:r w:rsidR="008413DF">
              <w:rPr>
                <w:rFonts w:ascii="Times New Roman" w:hAnsi="Times New Roman"/>
              </w:rPr>
              <w:t xml:space="preserve"> utrudniają skuteczne nałożenie kary przez </w:t>
            </w:r>
            <w:r w:rsidR="00422E99">
              <w:rPr>
                <w:rFonts w:ascii="Times New Roman" w:hAnsi="Times New Roman"/>
              </w:rPr>
              <w:t>NFZ</w:t>
            </w:r>
            <w:r w:rsidR="008413DF">
              <w:rPr>
                <w:rFonts w:ascii="Times New Roman" w:hAnsi="Times New Roman"/>
              </w:rPr>
              <w:t>;</w:t>
            </w:r>
          </w:p>
          <w:p w14:paraId="2B95BC4D" w14:textId="5390C2DC" w:rsidR="008413DF" w:rsidRDefault="00642B2F" w:rsidP="009F3719">
            <w:pPr>
              <w:pStyle w:val="Akapitzlist"/>
              <w:numPr>
                <w:ilvl w:val="0"/>
                <w:numId w:val="38"/>
              </w:numPr>
              <w:jc w:val="both"/>
              <w:rPr>
                <w:rFonts w:ascii="Times New Roman" w:hAnsi="Times New Roman"/>
              </w:rPr>
            </w:pPr>
            <w:r>
              <w:rPr>
                <w:rFonts w:ascii="Times New Roman" w:hAnsi="Times New Roman"/>
              </w:rPr>
              <w:t>w</w:t>
            </w:r>
            <w:r w:rsidR="00635401">
              <w:rPr>
                <w:rFonts w:ascii="Times New Roman" w:hAnsi="Times New Roman"/>
              </w:rPr>
              <w:t xml:space="preserve"> związku z praktyką funkcjonowania </w:t>
            </w:r>
            <w:r w:rsidR="00422E99">
              <w:rPr>
                <w:rFonts w:ascii="Times New Roman" w:hAnsi="Times New Roman"/>
              </w:rPr>
              <w:t xml:space="preserve">instytucji prawnej </w:t>
            </w:r>
            <w:r w:rsidR="00A70116">
              <w:rPr>
                <w:rFonts w:ascii="Times New Roman" w:hAnsi="Times New Roman"/>
              </w:rPr>
              <w:t xml:space="preserve">żądania zwrotu ceny przez apteki i hurtownie farmaceutyczne za </w:t>
            </w:r>
            <w:r w:rsidR="00A70116" w:rsidRPr="00A70116">
              <w:rPr>
                <w:rFonts w:ascii="Times New Roman" w:hAnsi="Times New Roman"/>
              </w:rPr>
              <w:t>posiad</w:t>
            </w:r>
            <w:r w:rsidR="00A70116">
              <w:rPr>
                <w:rFonts w:ascii="Times New Roman" w:hAnsi="Times New Roman"/>
              </w:rPr>
              <w:t>any</w:t>
            </w:r>
            <w:r w:rsidR="00A70116" w:rsidRPr="00A70116">
              <w:rPr>
                <w:rFonts w:ascii="Times New Roman" w:hAnsi="Times New Roman"/>
              </w:rPr>
              <w:t xml:space="preserve"> lek, środek spożywczy specjalnego przeznaczenia żywieniowego lub wyrób medyczny objęty refundacją, dla którego została wydana decyzja administracyjna, o której mowa w art. 24 ust. 1 pkt 5, albo dla którego wygasła decyzja administracyjna o objęciu refundacją, nabyty przed tymi zmianami</w:t>
            </w:r>
            <w:r w:rsidR="00A70116">
              <w:rPr>
                <w:rFonts w:ascii="Times New Roman" w:hAnsi="Times New Roman"/>
              </w:rPr>
              <w:t>. Wnioskodawcy wskazują na możliwe</w:t>
            </w:r>
            <w:r w:rsidR="00DB3A87">
              <w:rPr>
                <w:rFonts w:ascii="Times New Roman" w:hAnsi="Times New Roman"/>
              </w:rPr>
              <w:t xml:space="preserve"> wystąpienie</w:t>
            </w:r>
            <w:r w:rsidR="00A70116">
              <w:rPr>
                <w:rFonts w:ascii="Times New Roman" w:hAnsi="Times New Roman"/>
              </w:rPr>
              <w:t xml:space="preserve"> naduży</w:t>
            </w:r>
            <w:r w:rsidR="00DB3A87">
              <w:rPr>
                <w:rFonts w:ascii="Times New Roman" w:hAnsi="Times New Roman"/>
              </w:rPr>
              <w:t xml:space="preserve">ć </w:t>
            </w:r>
            <w:r w:rsidR="00A70116">
              <w:rPr>
                <w:rFonts w:ascii="Times New Roman" w:hAnsi="Times New Roman"/>
              </w:rPr>
              <w:t>żądania takiego zwrotu po wielu latach od jego nabycia, a nawet po upływie okresu ważności</w:t>
            </w:r>
            <w:r w:rsidR="007C1271">
              <w:rPr>
                <w:rFonts w:ascii="Times New Roman" w:hAnsi="Times New Roman"/>
              </w:rPr>
              <w:t>;</w:t>
            </w:r>
          </w:p>
          <w:p w14:paraId="03095E6A" w14:textId="54914782" w:rsidR="00A70116" w:rsidRDefault="007C1271" w:rsidP="009F3719">
            <w:pPr>
              <w:pStyle w:val="Akapitzlist"/>
              <w:numPr>
                <w:ilvl w:val="0"/>
                <w:numId w:val="38"/>
              </w:numPr>
              <w:jc w:val="both"/>
              <w:rPr>
                <w:rFonts w:ascii="Times New Roman" w:hAnsi="Times New Roman"/>
              </w:rPr>
            </w:pPr>
            <w:r>
              <w:rPr>
                <w:rFonts w:ascii="Times New Roman" w:hAnsi="Times New Roman"/>
              </w:rPr>
              <w:t>obserwuje się wydłużenie postępowań refundacyjnych na etapie przygotowania analizy weryfikacyjnej przez AOTMiT, a także problemy ze statusem warunkowych rekomendacji Prezesa AOTMiT po uzupełnieniu wniosku przez Wnioskodawcę, które nie spełniają warunku wskazanego w rekomendacji;</w:t>
            </w:r>
          </w:p>
          <w:p w14:paraId="72D86638" w14:textId="0E1ACFD4" w:rsidR="007C1271" w:rsidRDefault="00B84E37" w:rsidP="009F3719">
            <w:pPr>
              <w:pStyle w:val="Akapitzlist"/>
              <w:numPr>
                <w:ilvl w:val="0"/>
                <w:numId w:val="38"/>
              </w:numPr>
              <w:jc w:val="both"/>
              <w:rPr>
                <w:rFonts w:ascii="Times New Roman" w:hAnsi="Times New Roman"/>
              </w:rPr>
            </w:pPr>
            <w:r>
              <w:rPr>
                <w:rFonts w:ascii="Times New Roman" w:hAnsi="Times New Roman"/>
              </w:rPr>
              <w:t xml:space="preserve">właściciele </w:t>
            </w:r>
            <w:r w:rsidR="00642B2F">
              <w:rPr>
                <w:rFonts w:ascii="Times New Roman" w:hAnsi="Times New Roman"/>
              </w:rPr>
              <w:t xml:space="preserve">aptek oraz </w:t>
            </w:r>
            <w:r w:rsidR="00422E99">
              <w:rPr>
                <w:rFonts w:ascii="Times New Roman" w:hAnsi="Times New Roman"/>
              </w:rPr>
              <w:t>NFZ</w:t>
            </w:r>
            <w:r w:rsidR="00642B2F">
              <w:rPr>
                <w:rFonts w:ascii="Times New Roman" w:hAnsi="Times New Roman"/>
              </w:rPr>
              <w:t xml:space="preserve"> wskaz</w:t>
            </w:r>
            <w:r w:rsidR="00422E99">
              <w:rPr>
                <w:rFonts w:ascii="Times New Roman" w:hAnsi="Times New Roman"/>
              </w:rPr>
              <w:t>ują</w:t>
            </w:r>
            <w:r w:rsidR="00642B2F">
              <w:rPr>
                <w:rFonts w:ascii="Times New Roman" w:hAnsi="Times New Roman"/>
              </w:rPr>
              <w:t>, że w obwieszczeniu powinna znajdować się cena detaliczna leków</w:t>
            </w:r>
            <w:r w:rsidR="00BF535C">
              <w:rPr>
                <w:rFonts w:ascii="Times New Roman" w:hAnsi="Times New Roman"/>
              </w:rPr>
              <w:t>,</w:t>
            </w:r>
            <w:r w:rsidR="00642B2F">
              <w:rPr>
                <w:rFonts w:ascii="Times New Roman" w:hAnsi="Times New Roman"/>
              </w:rPr>
              <w:t xml:space="preserve"> </w:t>
            </w:r>
            <w:r w:rsidR="00642B2F" w:rsidRPr="00642B2F">
              <w:rPr>
                <w:rFonts w:ascii="Times New Roman" w:hAnsi="Times New Roman"/>
              </w:rPr>
              <w:t>środk</w:t>
            </w:r>
            <w:r w:rsidR="00642B2F">
              <w:rPr>
                <w:rFonts w:ascii="Times New Roman" w:hAnsi="Times New Roman"/>
              </w:rPr>
              <w:t>ów</w:t>
            </w:r>
            <w:r w:rsidR="00642B2F" w:rsidRPr="00642B2F">
              <w:rPr>
                <w:rFonts w:ascii="Times New Roman" w:hAnsi="Times New Roman"/>
              </w:rPr>
              <w:t xml:space="preserve"> spożywcz</w:t>
            </w:r>
            <w:r w:rsidR="00642B2F">
              <w:rPr>
                <w:rFonts w:ascii="Times New Roman" w:hAnsi="Times New Roman"/>
              </w:rPr>
              <w:t xml:space="preserve">ych </w:t>
            </w:r>
            <w:r w:rsidR="00642B2F" w:rsidRPr="00642B2F">
              <w:rPr>
                <w:rFonts w:ascii="Times New Roman" w:hAnsi="Times New Roman"/>
              </w:rPr>
              <w:t>specjalnego przeznaczenia żywieniowego</w:t>
            </w:r>
            <w:r w:rsidR="00642B2F">
              <w:rPr>
                <w:rFonts w:ascii="Times New Roman" w:hAnsi="Times New Roman"/>
              </w:rPr>
              <w:t xml:space="preserve"> oraz</w:t>
            </w:r>
            <w:r w:rsidR="00642B2F" w:rsidRPr="00642B2F">
              <w:rPr>
                <w:rFonts w:ascii="Times New Roman" w:hAnsi="Times New Roman"/>
              </w:rPr>
              <w:t xml:space="preserve"> wyrob</w:t>
            </w:r>
            <w:r w:rsidR="00642B2F">
              <w:rPr>
                <w:rFonts w:ascii="Times New Roman" w:hAnsi="Times New Roman"/>
              </w:rPr>
              <w:t>ów</w:t>
            </w:r>
            <w:r w:rsidR="00642B2F" w:rsidRPr="00642B2F">
              <w:rPr>
                <w:rFonts w:ascii="Times New Roman" w:hAnsi="Times New Roman"/>
              </w:rPr>
              <w:t xml:space="preserve"> medyczn</w:t>
            </w:r>
            <w:r w:rsidR="00642B2F">
              <w:rPr>
                <w:rFonts w:ascii="Times New Roman" w:hAnsi="Times New Roman"/>
              </w:rPr>
              <w:t>ych objętych refundacją, ponieważ ułatwia to rozliczanie tych produktów oraz kontrolę obrotu</w:t>
            </w:r>
            <w:r w:rsidR="00404501">
              <w:rPr>
                <w:rFonts w:ascii="Times New Roman" w:hAnsi="Times New Roman"/>
              </w:rPr>
              <w:t>. O</w:t>
            </w:r>
            <w:r w:rsidR="00642B2F">
              <w:rPr>
                <w:rFonts w:ascii="Times New Roman" w:hAnsi="Times New Roman"/>
              </w:rPr>
              <w:t>becnie cena ta jest jednak podawana na podstawie art. 37 ust. 5a ustawy refundacyjnej;</w:t>
            </w:r>
          </w:p>
          <w:p w14:paraId="3BBF4030" w14:textId="01558DEA" w:rsidR="00B05AE8" w:rsidRDefault="003E7608" w:rsidP="009F3719">
            <w:pPr>
              <w:pStyle w:val="Akapitzlist"/>
              <w:numPr>
                <w:ilvl w:val="0"/>
                <w:numId w:val="38"/>
              </w:numPr>
              <w:jc w:val="both"/>
              <w:rPr>
                <w:rFonts w:ascii="Times New Roman" w:hAnsi="Times New Roman"/>
              </w:rPr>
            </w:pPr>
            <w:r>
              <w:rPr>
                <w:rFonts w:ascii="Times New Roman" w:hAnsi="Times New Roman"/>
              </w:rPr>
              <w:t>w</w:t>
            </w:r>
            <w:r w:rsidR="00203D08">
              <w:rPr>
                <w:rFonts w:ascii="Times New Roman" w:hAnsi="Times New Roman"/>
              </w:rPr>
              <w:t xml:space="preserve"> praktyce pracy </w:t>
            </w:r>
            <w:r>
              <w:rPr>
                <w:rFonts w:ascii="Times New Roman" w:hAnsi="Times New Roman"/>
              </w:rPr>
              <w:t>NFZ</w:t>
            </w:r>
            <w:r w:rsidR="00203D08">
              <w:rPr>
                <w:rFonts w:ascii="Times New Roman" w:hAnsi="Times New Roman"/>
              </w:rPr>
              <w:t xml:space="preserve"> </w:t>
            </w:r>
            <w:r w:rsidR="00B05AE8">
              <w:rPr>
                <w:rFonts w:ascii="Times New Roman" w:hAnsi="Times New Roman"/>
              </w:rPr>
              <w:t xml:space="preserve">uwidoczniły się problemy w nieprecyzyjnych przepisach dotyczących </w:t>
            </w:r>
            <w:r w:rsidR="00B05AE8" w:rsidRPr="00B05AE8">
              <w:rPr>
                <w:rFonts w:ascii="Times New Roman" w:hAnsi="Times New Roman"/>
              </w:rPr>
              <w:t xml:space="preserve">uczestnictwa </w:t>
            </w:r>
            <w:r w:rsidR="00304247" w:rsidRPr="00B05AE8">
              <w:rPr>
                <w:rFonts w:ascii="Times New Roman" w:hAnsi="Times New Roman"/>
              </w:rPr>
              <w:t xml:space="preserve">aptek oraz osób uprawnionych do wystawiania recept na produkty refundowane </w:t>
            </w:r>
            <w:r w:rsidR="00B05AE8" w:rsidRPr="00B05AE8">
              <w:rPr>
                <w:rFonts w:ascii="Times New Roman" w:hAnsi="Times New Roman"/>
              </w:rPr>
              <w:t>w systemie refundacyjnym</w:t>
            </w:r>
            <w:r w:rsidR="00B05AE8">
              <w:rPr>
                <w:rFonts w:ascii="Times New Roman" w:hAnsi="Times New Roman"/>
              </w:rPr>
              <w:t>, taki</w:t>
            </w:r>
            <w:r w:rsidR="00304247">
              <w:rPr>
                <w:rFonts w:ascii="Times New Roman" w:hAnsi="Times New Roman"/>
              </w:rPr>
              <w:t>e</w:t>
            </w:r>
            <w:r w:rsidR="00B05AE8">
              <w:rPr>
                <w:rFonts w:ascii="Times New Roman" w:hAnsi="Times New Roman"/>
              </w:rPr>
              <w:t xml:space="preserve"> jak wątpliwości interpretacyjne w </w:t>
            </w:r>
            <w:r w:rsidR="00B05AE8" w:rsidRPr="00B05AE8">
              <w:rPr>
                <w:rFonts w:ascii="Times New Roman" w:hAnsi="Times New Roman"/>
              </w:rPr>
              <w:t xml:space="preserve">kwestii rodzajów podpisów elektronicznych, którymi mogą się posługiwać osoby zawierające umowę na realizację recept z </w:t>
            </w:r>
            <w:r w:rsidR="00304247">
              <w:rPr>
                <w:rFonts w:ascii="Times New Roman" w:hAnsi="Times New Roman"/>
              </w:rPr>
              <w:t>NFZ</w:t>
            </w:r>
            <w:r w:rsidR="00B05AE8">
              <w:rPr>
                <w:rFonts w:ascii="Times New Roman" w:hAnsi="Times New Roman"/>
              </w:rPr>
              <w:t xml:space="preserve">, możliwości miarkowania kar, </w:t>
            </w:r>
            <w:r w:rsidR="001B3E79">
              <w:rPr>
                <w:rFonts w:ascii="Times New Roman" w:hAnsi="Times New Roman"/>
              </w:rPr>
              <w:t xml:space="preserve">a także zauważalna jest potrzeba </w:t>
            </w:r>
            <w:r w:rsidR="00304247">
              <w:rPr>
                <w:rFonts w:ascii="Times New Roman" w:hAnsi="Times New Roman"/>
              </w:rPr>
              <w:t>korelacji</w:t>
            </w:r>
            <w:r w:rsidR="00B05AE8">
              <w:rPr>
                <w:rFonts w:ascii="Times New Roman" w:hAnsi="Times New Roman"/>
              </w:rPr>
              <w:t xml:space="preserve"> przepisów ustawy refundacyjnej </w:t>
            </w:r>
            <w:r w:rsidR="00304247">
              <w:rPr>
                <w:rFonts w:ascii="Times New Roman" w:hAnsi="Times New Roman"/>
              </w:rPr>
              <w:t>z</w:t>
            </w:r>
            <w:r w:rsidR="00B05AE8">
              <w:rPr>
                <w:rFonts w:ascii="Times New Roman" w:hAnsi="Times New Roman"/>
              </w:rPr>
              <w:t xml:space="preserve"> przepis</w:t>
            </w:r>
            <w:r w:rsidR="00304247">
              <w:rPr>
                <w:rFonts w:ascii="Times New Roman" w:hAnsi="Times New Roman"/>
              </w:rPr>
              <w:t>ami</w:t>
            </w:r>
            <w:r w:rsidR="00B05AE8">
              <w:rPr>
                <w:rFonts w:ascii="Times New Roman" w:hAnsi="Times New Roman"/>
              </w:rPr>
              <w:t xml:space="preserve"> wprowadzony</w:t>
            </w:r>
            <w:r w:rsidR="00304247">
              <w:rPr>
                <w:rFonts w:ascii="Times New Roman" w:hAnsi="Times New Roman"/>
              </w:rPr>
              <w:t>mi</w:t>
            </w:r>
            <w:r w:rsidR="00B05AE8">
              <w:rPr>
                <w:rFonts w:ascii="Times New Roman" w:hAnsi="Times New Roman"/>
              </w:rPr>
              <w:t xml:space="preserve"> do systemu ochrony zdrowia innym ustawami</w:t>
            </w:r>
            <w:r w:rsidR="00304247">
              <w:rPr>
                <w:rFonts w:ascii="Times New Roman" w:hAnsi="Times New Roman"/>
              </w:rPr>
              <w:t>, np.</w:t>
            </w:r>
            <w:r w:rsidR="00B05AE8">
              <w:rPr>
                <w:rFonts w:ascii="Times New Roman" w:hAnsi="Times New Roman"/>
              </w:rPr>
              <w:t xml:space="preserve"> </w:t>
            </w:r>
            <w:r w:rsidR="00B05AE8" w:rsidRPr="00B05AE8">
              <w:rPr>
                <w:rFonts w:ascii="Times New Roman" w:hAnsi="Times New Roman"/>
              </w:rPr>
              <w:t>ustaw</w:t>
            </w:r>
            <w:r w:rsidR="00304247">
              <w:rPr>
                <w:rFonts w:ascii="Times New Roman" w:hAnsi="Times New Roman"/>
              </w:rPr>
              <w:t>ą</w:t>
            </w:r>
            <w:r w:rsidR="00B05AE8" w:rsidRPr="00B05AE8">
              <w:rPr>
                <w:rFonts w:ascii="Times New Roman" w:hAnsi="Times New Roman"/>
              </w:rPr>
              <w:t xml:space="preserve"> z dnia 14 sierpnia 2020 r. o zmianie niektórych ustaw w celu zapewnienia funkcjonowania ochrony zdrowia w związku z epidemią COVID-19 oraz po jej ustaniu</w:t>
            </w:r>
            <w:r w:rsidR="00625C46">
              <w:rPr>
                <w:rFonts w:ascii="Times New Roman" w:hAnsi="Times New Roman"/>
              </w:rPr>
              <w:t xml:space="preserve"> </w:t>
            </w:r>
            <w:r w:rsidR="00AF625F">
              <w:rPr>
                <w:rFonts w:ascii="Times New Roman" w:hAnsi="Times New Roman"/>
              </w:rPr>
              <w:t>(</w:t>
            </w:r>
            <w:r w:rsidR="00B05AE8" w:rsidRPr="00B05AE8">
              <w:rPr>
                <w:rFonts w:ascii="Times New Roman" w:hAnsi="Times New Roman"/>
              </w:rPr>
              <w:t>Dz. U. poz. 1493)</w:t>
            </w:r>
            <w:r w:rsidR="00B05AE8">
              <w:rPr>
                <w:rFonts w:ascii="Times New Roman" w:hAnsi="Times New Roman"/>
              </w:rPr>
              <w:t>;</w:t>
            </w:r>
          </w:p>
          <w:p w14:paraId="2215B971" w14:textId="30C994B2" w:rsidR="00203D08" w:rsidRDefault="00304247" w:rsidP="009F3719">
            <w:pPr>
              <w:pStyle w:val="Akapitzlist"/>
              <w:numPr>
                <w:ilvl w:val="0"/>
                <w:numId w:val="38"/>
              </w:numPr>
              <w:jc w:val="both"/>
              <w:rPr>
                <w:rFonts w:ascii="Times New Roman" w:hAnsi="Times New Roman"/>
              </w:rPr>
            </w:pPr>
            <w:r>
              <w:rPr>
                <w:rFonts w:ascii="Times New Roman" w:hAnsi="Times New Roman"/>
              </w:rPr>
              <w:t>występują</w:t>
            </w:r>
            <w:r w:rsidR="00BC7B94">
              <w:rPr>
                <w:rFonts w:ascii="Times New Roman" w:hAnsi="Times New Roman"/>
              </w:rPr>
              <w:t xml:space="preserve"> wątpliwości interpretacyjne przy stosowaniu przepisu </w:t>
            </w:r>
            <w:r w:rsidR="00BC7B94" w:rsidRPr="00BC7B94">
              <w:rPr>
                <w:rFonts w:ascii="Times New Roman" w:hAnsi="Times New Roman"/>
              </w:rPr>
              <w:t xml:space="preserve">art. 127c ust. 1 ustawy </w:t>
            </w:r>
            <w:r w:rsidR="00AF625F">
              <w:rPr>
                <w:rFonts w:ascii="Times New Roman" w:hAnsi="Times New Roman"/>
              </w:rPr>
              <w:t xml:space="preserve">z dnia 6 września 2001 r. </w:t>
            </w:r>
            <w:r w:rsidR="00BC7B94" w:rsidRPr="00BC7B94">
              <w:rPr>
                <w:rFonts w:ascii="Times New Roman" w:hAnsi="Times New Roman"/>
              </w:rPr>
              <w:t>– Prawo farmaceutyczne</w:t>
            </w:r>
            <w:r w:rsidR="00BC7B94">
              <w:rPr>
                <w:rFonts w:ascii="Times New Roman" w:hAnsi="Times New Roman"/>
              </w:rPr>
              <w:t xml:space="preserve"> </w:t>
            </w:r>
            <w:r>
              <w:rPr>
                <w:rFonts w:ascii="Times New Roman" w:hAnsi="Times New Roman"/>
              </w:rPr>
              <w:t>skutkujące błędną jego</w:t>
            </w:r>
            <w:r w:rsidR="00BC7B94" w:rsidRPr="00BC7B94">
              <w:rPr>
                <w:rFonts w:ascii="Times New Roman" w:hAnsi="Times New Roman"/>
              </w:rPr>
              <w:t xml:space="preserve"> </w:t>
            </w:r>
            <w:r w:rsidR="00AB083F" w:rsidRPr="00BC7B94">
              <w:rPr>
                <w:rFonts w:ascii="Times New Roman" w:hAnsi="Times New Roman"/>
              </w:rPr>
              <w:t>wykładni</w:t>
            </w:r>
            <w:r w:rsidR="00AB083F">
              <w:rPr>
                <w:rFonts w:ascii="Times New Roman" w:hAnsi="Times New Roman"/>
              </w:rPr>
              <w:t>ą</w:t>
            </w:r>
            <w:r w:rsidR="00BC7B94" w:rsidRPr="00BC7B94">
              <w:rPr>
                <w:rFonts w:ascii="Times New Roman" w:hAnsi="Times New Roman"/>
              </w:rPr>
              <w:t>, zgodnie z którą administracyjna kara pieniężna</w:t>
            </w:r>
            <w:r>
              <w:rPr>
                <w:rFonts w:ascii="Times New Roman" w:hAnsi="Times New Roman"/>
              </w:rPr>
              <w:t xml:space="preserve"> przewidziana w tym przepisie</w:t>
            </w:r>
            <w:r w:rsidR="00BC7B94" w:rsidRPr="00BC7B94">
              <w:rPr>
                <w:rFonts w:ascii="Times New Roman" w:hAnsi="Times New Roman"/>
              </w:rPr>
              <w:t xml:space="preserve"> </w:t>
            </w:r>
            <w:r>
              <w:rPr>
                <w:rFonts w:ascii="Times New Roman" w:hAnsi="Times New Roman"/>
              </w:rPr>
              <w:t>dotyczy jedynie</w:t>
            </w:r>
            <w:r w:rsidR="00BC7B94" w:rsidRPr="00BC7B94">
              <w:rPr>
                <w:rFonts w:ascii="Times New Roman" w:hAnsi="Times New Roman"/>
              </w:rPr>
              <w:t xml:space="preserve"> </w:t>
            </w:r>
            <w:r>
              <w:rPr>
                <w:rFonts w:ascii="Times New Roman" w:hAnsi="Times New Roman"/>
              </w:rPr>
              <w:t xml:space="preserve">sytuacji </w:t>
            </w:r>
            <w:r w:rsidR="00BC7B94" w:rsidRPr="00BC7B94">
              <w:rPr>
                <w:rFonts w:ascii="Times New Roman" w:hAnsi="Times New Roman"/>
              </w:rPr>
              <w:t>nieprzekazani</w:t>
            </w:r>
            <w:r>
              <w:rPr>
                <w:rFonts w:ascii="Times New Roman" w:hAnsi="Times New Roman"/>
              </w:rPr>
              <w:t>a</w:t>
            </w:r>
            <w:r w:rsidR="00BC7B94" w:rsidRPr="00BC7B94">
              <w:rPr>
                <w:rFonts w:ascii="Times New Roman" w:hAnsi="Times New Roman"/>
              </w:rPr>
              <w:t xml:space="preserve"> danych do systemu, a nie obejmuje nieterminowego ich przekazania oraz przekazania danych nieprawidłowych</w:t>
            </w:r>
            <w:r>
              <w:rPr>
                <w:rFonts w:ascii="Times New Roman" w:hAnsi="Times New Roman"/>
              </w:rPr>
              <w:t>;</w:t>
            </w:r>
          </w:p>
          <w:p w14:paraId="7743BBC7" w14:textId="11C3B694" w:rsidR="00BC7B94" w:rsidRDefault="008F6E69" w:rsidP="009F3719">
            <w:pPr>
              <w:pStyle w:val="Akapitzlist"/>
              <w:numPr>
                <w:ilvl w:val="0"/>
                <w:numId w:val="38"/>
              </w:numPr>
              <w:jc w:val="both"/>
              <w:rPr>
                <w:rFonts w:ascii="Times New Roman" w:hAnsi="Times New Roman"/>
              </w:rPr>
            </w:pPr>
            <w:r>
              <w:rPr>
                <w:rFonts w:ascii="Times New Roman" w:hAnsi="Times New Roman"/>
              </w:rPr>
              <w:t xml:space="preserve">zbyt wąski zakres uregulowania </w:t>
            </w:r>
            <w:r w:rsidRPr="008F6E69">
              <w:rPr>
                <w:rFonts w:ascii="Times New Roman" w:hAnsi="Times New Roman"/>
              </w:rPr>
              <w:t>art. 81 ust. 1a ustawy</w:t>
            </w:r>
            <w:r>
              <w:t xml:space="preserve"> </w:t>
            </w:r>
            <w:r w:rsidR="00AF625F" w:rsidRPr="00977064">
              <w:rPr>
                <w:rFonts w:ascii="Times New Roman" w:hAnsi="Times New Roman"/>
              </w:rPr>
              <w:t xml:space="preserve">z dnia 6 września 2001 r. </w:t>
            </w:r>
            <w:r w:rsidRPr="00625C46">
              <w:rPr>
                <w:rFonts w:ascii="Times New Roman" w:hAnsi="Times New Roman"/>
              </w:rPr>
              <w:t xml:space="preserve">– </w:t>
            </w:r>
            <w:r w:rsidRPr="008F6E69">
              <w:rPr>
                <w:rFonts w:ascii="Times New Roman" w:hAnsi="Times New Roman"/>
              </w:rPr>
              <w:t>Prawo farmaceutyczne</w:t>
            </w:r>
            <w:r>
              <w:rPr>
                <w:rFonts w:ascii="Times New Roman" w:hAnsi="Times New Roman"/>
              </w:rPr>
              <w:t>, ponieważ p</w:t>
            </w:r>
            <w:r w:rsidRPr="008F6E69">
              <w:rPr>
                <w:rFonts w:ascii="Times New Roman" w:hAnsi="Times New Roman"/>
              </w:rPr>
              <w:t xml:space="preserve">rzepis nie obejmuje sytuacji, w której waga naruszenia </w:t>
            </w:r>
            <w:r w:rsidR="00AB083F">
              <w:rPr>
                <w:rFonts w:ascii="Times New Roman" w:hAnsi="Times New Roman"/>
              </w:rPr>
              <w:t xml:space="preserve">prawa </w:t>
            </w:r>
            <w:r w:rsidRPr="008F6E69">
              <w:rPr>
                <w:rFonts w:ascii="Times New Roman" w:hAnsi="Times New Roman"/>
              </w:rPr>
              <w:t>była znikoma, a wywóz bądź zbycie</w:t>
            </w:r>
            <w:r w:rsidR="00AB083F">
              <w:rPr>
                <w:rFonts w:ascii="Times New Roman" w:hAnsi="Times New Roman"/>
              </w:rPr>
              <w:t>, których dotyczy ten przepis,</w:t>
            </w:r>
            <w:r w:rsidRPr="008F6E69">
              <w:rPr>
                <w:rFonts w:ascii="Times New Roman" w:hAnsi="Times New Roman"/>
              </w:rPr>
              <w:t xml:space="preserve"> zostały dokonane bez uprzedniego zgłoszenia organowi</w:t>
            </w:r>
            <w:r>
              <w:rPr>
                <w:rFonts w:ascii="Times New Roman" w:hAnsi="Times New Roman"/>
              </w:rPr>
              <w:t>, co uniemożliwia miarkowanie kary</w:t>
            </w:r>
            <w:r w:rsidR="00305DEF">
              <w:rPr>
                <w:rFonts w:ascii="Times New Roman" w:hAnsi="Times New Roman"/>
              </w:rPr>
              <w:t>;</w:t>
            </w:r>
          </w:p>
          <w:p w14:paraId="244946E1" w14:textId="475E0BFE" w:rsidR="005956DA" w:rsidRDefault="00305DEF" w:rsidP="00301D13">
            <w:pPr>
              <w:pStyle w:val="Akapitzlist"/>
              <w:numPr>
                <w:ilvl w:val="0"/>
                <w:numId w:val="38"/>
              </w:numPr>
              <w:jc w:val="both"/>
              <w:rPr>
                <w:rFonts w:ascii="Times New Roman" w:hAnsi="Times New Roman"/>
              </w:rPr>
            </w:pPr>
            <w:r w:rsidRPr="00305DEF">
              <w:rPr>
                <w:rFonts w:ascii="Times New Roman" w:hAnsi="Times New Roman"/>
              </w:rPr>
              <w:t>obecnie rozwiązanie dotyczące system monitorowania programów lekowych jest realizowane przez umowę zawartą z zewnętrznym dostawcą oprogramowania, a potencjalna współpraca w tym zakresie z jednostką podległą ministrowi właściwemu do spraw zdrowia właściw</w:t>
            </w:r>
            <w:r w:rsidR="00304247">
              <w:rPr>
                <w:rFonts w:ascii="Times New Roman" w:hAnsi="Times New Roman"/>
              </w:rPr>
              <w:t>ą</w:t>
            </w:r>
            <w:r w:rsidRPr="00305DEF">
              <w:rPr>
                <w:rFonts w:ascii="Times New Roman" w:hAnsi="Times New Roman"/>
              </w:rPr>
              <w:t xml:space="preserve"> w zakresie systemów informacyjnych ochrony Centrum e-Zdrowia </w:t>
            </w:r>
            <w:r w:rsidR="00625C46">
              <w:rPr>
                <w:rFonts w:ascii="Times New Roman" w:hAnsi="Times New Roman"/>
              </w:rPr>
              <w:t>(</w:t>
            </w:r>
            <w:proofErr w:type="spellStart"/>
            <w:r w:rsidRPr="00305DEF">
              <w:rPr>
                <w:rFonts w:ascii="Times New Roman" w:hAnsi="Times New Roman"/>
              </w:rPr>
              <w:t>CeZ</w:t>
            </w:r>
            <w:proofErr w:type="spellEnd"/>
            <w:r w:rsidRPr="00305DEF">
              <w:rPr>
                <w:rFonts w:ascii="Times New Roman" w:hAnsi="Times New Roman"/>
              </w:rPr>
              <w:t>)</w:t>
            </w:r>
            <w:r w:rsidR="00767230">
              <w:rPr>
                <w:rFonts w:ascii="Times New Roman" w:hAnsi="Times New Roman"/>
              </w:rPr>
              <w:t xml:space="preserve"> wymaga uregulowania ustawowego. Zwiększyłoby to </w:t>
            </w:r>
            <w:r w:rsidRPr="00305DEF">
              <w:rPr>
                <w:rFonts w:ascii="Times New Roman" w:hAnsi="Times New Roman"/>
              </w:rPr>
              <w:t>możliwoś</w:t>
            </w:r>
            <w:r w:rsidR="00304247">
              <w:rPr>
                <w:rFonts w:ascii="Times New Roman" w:hAnsi="Times New Roman"/>
              </w:rPr>
              <w:t>ci</w:t>
            </w:r>
            <w:r w:rsidRPr="00305DEF">
              <w:rPr>
                <w:rFonts w:ascii="Times New Roman" w:hAnsi="Times New Roman"/>
              </w:rPr>
              <w:t xml:space="preserve"> współpracy </w:t>
            </w:r>
            <w:r w:rsidR="00AB083F">
              <w:rPr>
                <w:rFonts w:ascii="Times New Roman" w:hAnsi="Times New Roman"/>
              </w:rPr>
              <w:t>NFZ</w:t>
            </w:r>
            <w:r w:rsidRPr="00305DEF">
              <w:rPr>
                <w:rFonts w:ascii="Times New Roman" w:hAnsi="Times New Roman"/>
              </w:rPr>
              <w:t xml:space="preserve"> ze wskazaną powyżej jednostką w celu budowania modułów systemu monitorowania programów lekowych</w:t>
            </w:r>
            <w:r w:rsidR="00EC58A9">
              <w:rPr>
                <w:rFonts w:ascii="Times New Roman" w:hAnsi="Times New Roman"/>
              </w:rPr>
              <w:t>;</w:t>
            </w:r>
            <w:r w:rsidRPr="00305DEF">
              <w:rPr>
                <w:rFonts w:ascii="Times New Roman" w:hAnsi="Times New Roman"/>
              </w:rPr>
              <w:t xml:space="preserve"> </w:t>
            </w:r>
          </w:p>
          <w:p w14:paraId="0F2A1B7D" w14:textId="1137C1F8" w:rsidR="00F40158" w:rsidRDefault="00EC58A9" w:rsidP="00F40158">
            <w:pPr>
              <w:pStyle w:val="Akapitzlist"/>
              <w:numPr>
                <w:ilvl w:val="0"/>
                <w:numId w:val="38"/>
              </w:numPr>
              <w:jc w:val="both"/>
              <w:rPr>
                <w:rFonts w:ascii="Times New Roman" w:hAnsi="Times New Roman"/>
              </w:rPr>
            </w:pPr>
            <w:r>
              <w:rPr>
                <w:rFonts w:ascii="Times New Roman" w:hAnsi="Times New Roman"/>
              </w:rPr>
              <w:t>o</w:t>
            </w:r>
            <w:r w:rsidR="008C2D0C" w:rsidRPr="008C2D0C">
              <w:rPr>
                <w:rFonts w:ascii="Times New Roman" w:hAnsi="Times New Roman"/>
              </w:rPr>
              <w:t>bowiązujący tryb dedykowany objęciu refundacją leków złożonych (np. SPC single-</w:t>
            </w:r>
            <w:proofErr w:type="spellStart"/>
            <w:r w:rsidR="008C2D0C" w:rsidRPr="008C2D0C">
              <w:rPr>
                <w:rFonts w:ascii="Times New Roman" w:hAnsi="Times New Roman"/>
              </w:rPr>
              <w:t>pill</w:t>
            </w:r>
            <w:proofErr w:type="spellEnd"/>
            <w:r w:rsidR="008C2D0C" w:rsidRPr="008C2D0C">
              <w:rPr>
                <w:rFonts w:ascii="Times New Roman" w:hAnsi="Times New Roman"/>
              </w:rPr>
              <w:t xml:space="preserve"> </w:t>
            </w:r>
            <w:proofErr w:type="spellStart"/>
            <w:r w:rsidR="008C2D0C" w:rsidRPr="008C2D0C">
              <w:rPr>
                <w:rFonts w:ascii="Times New Roman" w:hAnsi="Times New Roman"/>
              </w:rPr>
              <w:t>combination</w:t>
            </w:r>
            <w:proofErr w:type="spellEnd"/>
            <w:r w:rsidR="008C2D0C" w:rsidRPr="008C2D0C">
              <w:rPr>
                <w:rFonts w:ascii="Times New Roman" w:hAnsi="Times New Roman"/>
              </w:rPr>
              <w:t xml:space="preserve">) obejmuje etapy procesowe analogiczne jak w przypadku innowacyjnych leków, w szczególności ocenę </w:t>
            </w:r>
            <w:r w:rsidR="00434097">
              <w:rPr>
                <w:rFonts w:ascii="Times New Roman" w:hAnsi="Times New Roman"/>
              </w:rPr>
              <w:t>AOTMiT</w:t>
            </w:r>
            <w:r w:rsidR="008C2D0C" w:rsidRPr="008C2D0C">
              <w:rPr>
                <w:rFonts w:ascii="Times New Roman" w:hAnsi="Times New Roman"/>
              </w:rPr>
              <w:t xml:space="preserve">, co wiąże się z koniecznością przedłożenia kompletu analiz HTA. W praktyce często leki złożone nie różnią się skutecznością, zastosowaniem i bezpieczeństwem stosowania od ich odpowiedników w postaci produktów jednoskładnikowych, przy jednoczesnym zapewnieniu lepszego </w:t>
            </w:r>
            <w:proofErr w:type="spellStart"/>
            <w:r w:rsidR="008C2D0C" w:rsidRPr="008C2D0C">
              <w:rPr>
                <w:rFonts w:ascii="Times New Roman" w:hAnsi="Times New Roman"/>
              </w:rPr>
              <w:t>adherence</w:t>
            </w:r>
            <w:proofErr w:type="spellEnd"/>
            <w:r w:rsidR="008C2D0C" w:rsidRPr="008C2D0C">
              <w:rPr>
                <w:rFonts w:ascii="Times New Roman" w:hAnsi="Times New Roman"/>
              </w:rPr>
              <w:t xml:space="preserve"> (przestrzeganie zasad terapii, przestrzeganie i stosowanie się do zaleceń lekarskich oraz akceptacja </w:t>
            </w:r>
            <w:r w:rsidR="00EF6327">
              <w:rPr>
                <w:rFonts w:ascii="Times New Roman" w:hAnsi="Times New Roman"/>
              </w:rPr>
              <w:t xml:space="preserve">przez pacjenta </w:t>
            </w:r>
            <w:r w:rsidR="008C2D0C" w:rsidRPr="008C2D0C">
              <w:rPr>
                <w:rFonts w:ascii="Times New Roman" w:hAnsi="Times New Roman"/>
              </w:rPr>
              <w:t>uzgodnionych terapii) w procesie terapeutycznym. Z uwagi na rygorystyczne wymagania formalno-prawne, w refundacji systemowej brakuje leków złożonych wysoko pozycjonowanych w obecnych rekomendacjach klinicznych chorób populacyjnych</w:t>
            </w:r>
            <w:r w:rsidR="007E2484">
              <w:rPr>
                <w:rFonts w:ascii="Times New Roman" w:hAnsi="Times New Roman"/>
              </w:rPr>
              <w:t>;</w:t>
            </w:r>
          </w:p>
          <w:p w14:paraId="1B95A9E9" w14:textId="7F178041" w:rsidR="00F40158" w:rsidRDefault="00EC58A9" w:rsidP="00F40158">
            <w:pPr>
              <w:pStyle w:val="Akapitzlist"/>
              <w:numPr>
                <w:ilvl w:val="0"/>
                <w:numId w:val="38"/>
              </w:numPr>
              <w:jc w:val="both"/>
              <w:rPr>
                <w:rFonts w:ascii="Times New Roman" w:hAnsi="Times New Roman"/>
              </w:rPr>
            </w:pPr>
            <w:r>
              <w:rPr>
                <w:rFonts w:ascii="Times New Roman" w:hAnsi="Times New Roman"/>
              </w:rPr>
              <w:t>o</w:t>
            </w:r>
            <w:r w:rsidR="00F40158">
              <w:rPr>
                <w:rFonts w:ascii="Times New Roman" w:hAnsi="Times New Roman"/>
              </w:rPr>
              <w:t xml:space="preserve">bejmowanie refundacją coraz </w:t>
            </w:r>
            <w:r w:rsidR="00F40158" w:rsidRPr="006D7335">
              <w:rPr>
                <w:rFonts w:ascii="Times New Roman" w:hAnsi="Times New Roman"/>
              </w:rPr>
              <w:t>większ</w:t>
            </w:r>
            <w:r w:rsidR="00F40158">
              <w:rPr>
                <w:rFonts w:ascii="Times New Roman" w:hAnsi="Times New Roman"/>
              </w:rPr>
              <w:t>ej</w:t>
            </w:r>
            <w:r w:rsidR="00F40158" w:rsidRPr="006D7335">
              <w:rPr>
                <w:rFonts w:ascii="Times New Roman" w:hAnsi="Times New Roman"/>
              </w:rPr>
              <w:t xml:space="preserve"> liczb</w:t>
            </w:r>
            <w:r>
              <w:rPr>
                <w:rFonts w:ascii="Times New Roman" w:hAnsi="Times New Roman"/>
              </w:rPr>
              <w:t>y</w:t>
            </w:r>
            <w:r w:rsidR="00F40158" w:rsidRPr="006D7335">
              <w:rPr>
                <w:rFonts w:ascii="Times New Roman" w:hAnsi="Times New Roman"/>
              </w:rPr>
              <w:t xml:space="preserve"> nowych technologii lekowych</w:t>
            </w:r>
            <w:r>
              <w:rPr>
                <w:rFonts w:ascii="Times New Roman" w:hAnsi="Times New Roman"/>
              </w:rPr>
              <w:t>, która</w:t>
            </w:r>
            <w:r w:rsidR="00F40158" w:rsidRPr="006D7335">
              <w:rPr>
                <w:rFonts w:ascii="Times New Roman" w:hAnsi="Times New Roman"/>
              </w:rPr>
              <w:t xml:space="preserve"> rozliczana jest na fiolki</w:t>
            </w:r>
            <w:r w:rsidR="00F40158">
              <w:rPr>
                <w:rFonts w:ascii="Times New Roman" w:hAnsi="Times New Roman"/>
              </w:rPr>
              <w:t>, a co za tym idzie niechęć świadczeniodawców do kontaktowania takiego świadczenia</w:t>
            </w:r>
            <w:r w:rsidR="00F40158" w:rsidRPr="006D7335">
              <w:rPr>
                <w:rFonts w:ascii="Times New Roman" w:hAnsi="Times New Roman"/>
              </w:rPr>
              <w:t xml:space="preserve"> z uwagi na potencjalne straty</w:t>
            </w:r>
            <w:r w:rsidR="006B3555">
              <w:rPr>
                <w:rFonts w:ascii="Times New Roman" w:hAnsi="Times New Roman"/>
              </w:rPr>
              <w:t xml:space="preserve"> finansowe</w:t>
            </w:r>
            <w:r w:rsidR="00F40158" w:rsidRPr="006D7335">
              <w:rPr>
                <w:rFonts w:ascii="Times New Roman" w:hAnsi="Times New Roman"/>
              </w:rPr>
              <w:t xml:space="preserve">, które w obecnym stanie prawnym </w:t>
            </w:r>
            <w:r w:rsidRPr="006D7335">
              <w:rPr>
                <w:rFonts w:ascii="Times New Roman" w:hAnsi="Times New Roman"/>
              </w:rPr>
              <w:t xml:space="preserve">jest </w:t>
            </w:r>
            <w:r w:rsidR="00F40158" w:rsidRPr="006D7335">
              <w:rPr>
                <w:rFonts w:ascii="Times New Roman" w:hAnsi="Times New Roman"/>
              </w:rPr>
              <w:t>zobowiązany pokryć świadczeniodawca realizujący dane świadczenie w przypadku rozliczenia na ilości faktycznie podanej świadczeniobiorcy</w:t>
            </w:r>
            <w:r w:rsidR="007E2484">
              <w:rPr>
                <w:rFonts w:ascii="Times New Roman" w:hAnsi="Times New Roman"/>
              </w:rPr>
              <w:t>;</w:t>
            </w:r>
          </w:p>
          <w:p w14:paraId="111BCBC5" w14:textId="63CBC9C8" w:rsidR="007E2484" w:rsidRDefault="00EC58A9" w:rsidP="007E2484">
            <w:pPr>
              <w:pStyle w:val="Akapitzlist"/>
              <w:numPr>
                <w:ilvl w:val="0"/>
                <w:numId w:val="38"/>
              </w:numPr>
              <w:jc w:val="both"/>
              <w:rPr>
                <w:rFonts w:ascii="Times New Roman" w:hAnsi="Times New Roman"/>
              </w:rPr>
            </w:pPr>
            <w:r>
              <w:rPr>
                <w:rFonts w:ascii="Times New Roman" w:hAnsi="Times New Roman"/>
              </w:rPr>
              <w:t>o</w:t>
            </w:r>
            <w:r w:rsidR="007E2484" w:rsidRPr="007E2484">
              <w:rPr>
                <w:rFonts w:ascii="Times New Roman" w:hAnsi="Times New Roman"/>
              </w:rPr>
              <w:t xml:space="preserve">becnie coraz częściej </w:t>
            </w:r>
            <w:r w:rsidRPr="007E2484">
              <w:rPr>
                <w:rFonts w:ascii="Times New Roman" w:hAnsi="Times New Roman"/>
              </w:rPr>
              <w:t xml:space="preserve">są </w:t>
            </w:r>
            <w:r w:rsidR="007E2484" w:rsidRPr="007E2484">
              <w:rPr>
                <w:rFonts w:ascii="Times New Roman" w:hAnsi="Times New Roman"/>
              </w:rPr>
              <w:t>rejestrowane na poziomie EMA skojarzone schematy leczenia, co więcej często obejmują dwie „innowacyjne” terapie, a co bardziej problematyczne, zdarzają się przypadki, gdy nie wszystkie składowe należą do portfolio tego samego podmiotu odpowiedzialnego, co rodzi problemy proceduralne przy obecnym prawodawstwie dotyczącym obejmowania refundacją nowych</w:t>
            </w:r>
            <w:r w:rsidR="007E2484">
              <w:rPr>
                <w:rFonts w:ascii="Times New Roman" w:hAnsi="Times New Roman"/>
              </w:rPr>
              <w:t xml:space="preserve"> </w:t>
            </w:r>
            <w:r w:rsidR="007E2484" w:rsidRPr="007E2484">
              <w:rPr>
                <w:rFonts w:ascii="Times New Roman" w:hAnsi="Times New Roman"/>
              </w:rPr>
              <w:t>technologii lekowych</w:t>
            </w:r>
            <w:r w:rsidR="0039683D">
              <w:rPr>
                <w:rFonts w:ascii="Times New Roman" w:hAnsi="Times New Roman"/>
              </w:rPr>
              <w:t>;</w:t>
            </w:r>
          </w:p>
          <w:p w14:paraId="5D138148" w14:textId="1CA15965" w:rsidR="007E2484" w:rsidRDefault="00EC58A9" w:rsidP="00E1515A">
            <w:pPr>
              <w:pStyle w:val="Akapitzlist"/>
              <w:numPr>
                <w:ilvl w:val="0"/>
                <w:numId w:val="38"/>
              </w:numPr>
              <w:jc w:val="both"/>
              <w:rPr>
                <w:rFonts w:ascii="Times New Roman" w:hAnsi="Times New Roman"/>
              </w:rPr>
            </w:pPr>
            <w:r>
              <w:rPr>
                <w:rFonts w:ascii="Times New Roman" w:hAnsi="Times New Roman"/>
              </w:rPr>
              <w:t>k</w:t>
            </w:r>
            <w:r w:rsidR="0039683D" w:rsidRPr="0039683D">
              <w:rPr>
                <w:rFonts w:ascii="Times New Roman" w:hAnsi="Times New Roman"/>
              </w:rPr>
              <w:t>olejną problematyczną kwestią jest fakt obecności oraz wnioskowania o wysokokosztowe, specjalistyczne terapie w ramach refundacji aptecznej. Obserwuje się coraz większą liczbę wniosków z terapiami wysokokosztowymi, które do tej pory były obecne w programach lekowych i chemioterapii, dzięki czemu płatnik publiczny i Minister Zdrowia mieli ścisły nadzór nad wydatkami. Jednak pojawiają się terapie, które wskazują na lepszy profil bezpieczeństwa terapii dla pacjenta, a nie wymagają każdorazowego pojawiania się pacjenta na terapii monitorującej w szpitalu lub AOS, które dodatkowo obciążają płatnika publicznego kolejną płatnością za wizytę</w:t>
            </w:r>
            <w:r w:rsidR="00E1515A">
              <w:rPr>
                <w:rFonts w:ascii="Times New Roman" w:hAnsi="Times New Roman"/>
              </w:rPr>
              <w:t>;</w:t>
            </w:r>
          </w:p>
          <w:p w14:paraId="385501A7" w14:textId="2DF16465" w:rsidR="00E1515A" w:rsidRDefault="00EC58A9">
            <w:pPr>
              <w:pStyle w:val="Akapitzlist"/>
              <w:numPr>
                <w:ilvl w:val="0"/>
                <w:numId w:val="38"/>
              </w:numPr>
              <w:jc w:val="both"/>
              <w:rPr>
                <w:rFonts w:ascii="Times New Roman" w:hAnsi="Times New Roman"/>
              </w:rPr>
            </w:pPr>
            <w:r>
              <w:rPr>
                <w:rFonts w:ascii="Times New Roman" w:hAnsi="Times New Roman"/>
              </w:rPr>
              <w:t>z</w:t>
            </w:r>
            <w:r w:rsidR="006B3555">
              <w:rPr>
                <w:rFonts w:ascii="Times New Roman" w:hAnsi="Times New Roman"/>
              </w:rPr>
              <w:t xml:space="preserve">byt uproszone dane przekazywane wraz z wnioskiem o objęcie refundacją i ustalenia ceny zbytu neto w zakresie wnioskowanego wskazania refundacyjnego co </w:t>
            </w:r>
            <w:r w:rsidR="00404141">
              <w:rPr>
                <w:rFonts w:ascii="Times New Roman" w:hAnsi="Times New Roman"/>
              </w:rPr>
              <w:t>utrudnia</w:t>
            </w:r>
            <w:r w:rsidR="006B3555">
              <w:rPr>
                <w:rFonts w:ascii="Times New Roman" w:hAnsi="Times New Roman"/>
              </w:rPr>
              <w:t xml:space="preserve"> wprowadzanie rozwiązań mających ułatwić lekarzom przepisywanie leków refundowanych dostępnych w aptece</w:t>
            </w:r>
            <w:r w:rsidR="00BE465F">
              <w:rPr>
                <w:rFonts w:ascii="Times New Roman" w:hAnsi="Times New Roman"/>
              </w:rPr>
              <w:t>;</w:t>
            </w:r>
          </w:p>
          <w:p w14:paraId="78C55494" w14:textId="19720EF1" w:rsidR="00C73419" w:rsidRDefault="00EC58A9" w:rsidP="006D7335">
            <w:pPr>
              <w:pStyle w:val="Akapitzlist"/>
              <w:numPr>
                <w:ilvl w:val="0"/>
                <w:numId w:val="38"/>
              </w:numPr>
              <w:jc w:val="both"/>
              <w:rPr>
                <w:rFonts w:ascii="Times New Roman" w:hAnsi="Times New Roman"/>
              </w:rPr>
            </w:pPr>
            <w:r>
              <w:rPr>
                <w:rFonts w:ascii="Times New Roman" w:hAnsi="Times New Roman"/>
              </w:rPr>
              <w:t>s</w:t>
            </w:r>
            <w:r w:rsidR="00BE465F">
              <w:rPr>
                <w:rFonts w:ascii="Times New Roman" w:hAnsi="Times New Roman"/>
              </w:rPr>
              <w:t xml:space="preserve">ztywne uregulowanie </w:t>
            </w:r>
            <w:r w:rsidR="00D54703">
              <w:rPr>
                <w:rFonts w:ascii="Times New Roman" w:hAnsi="Times New Roman"/>
              </w:rPr>
              <w:t xml:space="preserve">częstotliwości </w:t>
            </w:r>
            <w:r w:rsidR="00BE465F">
              <w:rPr>
                <w:rFonts w:ascii="Times New Roman" w:hAnsi="Times New Roman"/>
              </w:rPr>
              <w:t>organizacji e</w:t>
            </w:r>
            <w:r w:rsidR="00BE465F" w:rsidRPr="00BE465F">
              <w:rPr>
                <w:rFonts w:ascii="Times New Roman" w:hAnsi="Times New Roman"/>
              </w:rPr>
              <w:t>gzamin</w:t>
            </w:r>
            <w:r w:rsidR="00BE465F">
              <w:rPr>
                <w:rFonts w:ascii="Times New Roman" w:hAnsi="Times New Roman"/>
              </w:rPr>
              <w:t>u</w:t>
            </w:r>
            <w:r w:rsidR="00BE465F" w:rsidRPr="00BE465F">
              <w:rPr>
                <w:rFonts w:ascii="Times New Roman" w:hAnsi="Times New Roman"/>
              </w:rPr>
              <w:t xml:space="preserve"> kwalifikacyjn</w:t>
            </w:r>
            <w:r w:rsidR="00BE465F">
              <w:rPr>
                <w:rFonts w:ascii="Times New Roman" w:hAnsi="Times New Roman"/>
              </w:rPr>
              <w:t>ego</w:t>
            </w:r>
            <w:r w:rsidR="00BE465F" w:rsidRPr="00BE465F">
              <w:rPr>
                <w:rFonts w:ascii="Times New Roman" w:hAnsi="Times New Roman"/>
              </w:rPr>
              <w:t xml:space="preserve"> na stanowisko kontrolera</w:t>
            </w:r>
            <w:r w:rsidR="00BE465F">
              <w:rPr>
                <w:rFonts w:ascii="Times New Roman" w:hAnsi="Times New Roman"/>
              </w:rPr>
              <w:t xml:space="preserve"> </w:t>
            </w:r>
            <w:r w:rsidR="00D54703">
              <w:rPr>
                <w:rFonts w:ascii="Times New Roman" w:hAnsi="Times New Roman"/>
              </w:rPr>
              <w:t xml:space="preserve">w ramach </w:t>
            </w:r>
            <w:r w:rsidR="00D54703" w:rsidRPr="00D54703">
              <w:rPr>
                <w:rFonts w:ascii="Times New Roman" w:hAnsi="Times New Roman"/>
              </w:rPr>
              <w:t>korpusu kontrolerskiego</w:t>
            </w:r>
            <w:r w:rsidR="00D54703">
              <w:rPr>
                <w:rFonts w:ascii="Times New Roman" w:hAnsi="Times New Roman"/>
              </w:rPr>
              <w:t xml:space="preserve"> utworzonego przez </w:t>
            </w:r>
            <w:r w:rsidR="00D00CD8">
              <w:rPr>
                <w:rFonts w:ascii="Times New Roman" w:hAnsi="Times New Roman"/>
              </w:rPr>
              <w:t xml:space="preserve">NFZ </w:t>
            </w:r>
            <w:r w:rsidR="00D54703">
              <w:rPr>
                <w:rFonts w:ascii="Times New Roman" w:hAnsi="Times New Roman"/>
              </w:rPr>
              <w:t>powoduje nadmierne obciążenie utrudniające normalne funkcjonowanie podmiotu</w:t>
            </w:r>
            <w:r w:rsidR="00C73419">
              <w:rPr>
                <w:rFonts w:ascii="Times New Roman" w:hAnsi="Times New Roman"/>
              </w:rPr>
              <w:t>;</w:t>
            </w:r>
          </w:p>
          <w:p w14:paraId="49629C41" w14:textId="6DD4E08B" w:rsidR="00BE465F" w:rsidRPr="006D7335" w:rsidRDefault="00EC58A9" w:rsidP="006D7335">
            <w:pPr>
              <w:pStyle w:val="Akapitzlist"/>
              <w:numPr>
                <w:ilvl w:val="0"/>
                <w:numId w:val="38"/>
              </w:numPr>
              <w:jc w:val="both"/>
              <w:rPr>
                <w:rFonts w:ascii="Times New Roman" w:hAnsi="Times New Roman"/>
              </w:rPr>
            </w:pPr>
            <w:r>
              <w:rPr>
                <w:rFonts w:ascii="Times New Roman" w:hAnsi="Times New Roman"/>
              </w:rPr>
              <w:t>n</w:t>
            </w:r>
            <w:r w:rsidR="00C73419" w:rsidRPr="00C73419">
              <w:rPr>
                <w:rFonts w:ascii="Times New Roman" w:hAnsi="Times New Roman"/>
              </w:rPr>
              <w:t xml:space="preserve">admierne obciążenie pracą </w:t>
            </w:r>
            <w:r w:rsidR="00434097">
              <w:rPr>
                <w:rFonts w:ascii="Times New Roman" w:hAnsi="Times New Roman"/>
              </w:rPr>
              <w:t>AOTMiT</w:t>
            </w:r>
            <w:r w:rsidR="00434097" w:rsidRPr="00C73419">
              <w:rPr>
                <w:rFonts w:ascii="Times New Roman" w:hAnsi="Times New Roman"/>
              </w:rPr>
              <w:t xml:space="preserve"> </w:t>
            </w:r>
            <w:r w:rsidR="00C73419" w:rsidRPr="00C73419">
              <w:rPr>
                <w:rFonts w:ascii="Times New Roman" w:hAnsi="Times New Roman"/>
              </w:rPr>
              <w:t xml:space="preserve">i w związku z wydawaniem decyzji administracyjnych o objęciu refundacją leku przy danych klinicznych, w zakresie wskazań do stosowania lub dawkowania, lub sposobu podawania odmiennych niż określone w Charakterystyce Produktu Leczniczego w rozumieniu ustawy z dnia 6 września 2001 r. </w:t>
            </w:r>
            <w:r>
              <w:rPr>
                <w:rFonts w:ascii="Times New Roman" w:hAnsi="Times New Roman"/>
              </w:rPr>
              <w:t>–</w:t>
            </w:r>
            <w:r w:rsidR="00C73419" w:rsidRPr="00C73419">
              <w:rPr>
                <w:rFonts w:ascii="Times New Roman" w:hAnsi="Times New Roman"/>
              </w:rPr>
              <w:t xml:space="preserve"> Prawo farmaceutyczne w ramach kontynuacji wcześniej wydanych decyzji. Praktyka </w:t>
            </w:r>
            <w:r w:rsidR="00434097">
              <w:rPr>
                <w:rFonts w:ascii="Times New Roman" w:hAnsi="Times New Roman"/>
              </w:rPr>
              <w:t>AOTMiT</w:t>
            </w:r>
            <w:r w:rsidR="00C73419" w:rsidRPr="00C73419">
              <w:rPr>
                <w:rFonts w:ascii="Times New Roman" w:hAnsi="Times New Roman"/>
              </w:rPr>
              <w:t xml:space="preserve"> wskazuje, że kolejne oceny prowadzone dla tych samych substancji czynnych prowadzą do tych samych wniosków. Należy mieć na uwadze, że kolejnym ocenom podlegają leki o ugruntowanej praktyce klinicznej, pomimo braku rejestracji, w związku z czym kolejne oceny zazwyczaj nie przynoszą nowych dowodów w postaci badań naukowych wpływających na zmianę wnioskowania. Biorąc pod uwagę ograniczone zasoby </w:t>
            </w:r>
            <w:r w:rsidR="00434097">
              <w:rPr>
                <w:rFonts w:ascii="Times New Roman" w:hAnsi="Times New Roman"/>
              </w:rPr>
              <w:t>AOTMiT</w:t>
            </w:r>
            <w:r w:rsidR="00434097" w:rsidRPr="00C73419">
              <w:rPr>
                <w:rFonts w:ascii="Times New Roman" w:hAnsi="Times New Roman"/>
              </w:rPr>
              <w:t xml:space="preserve"> </w:t>
            </w:r>
            <w:r w:rsidR="00C73419" w:rsidRPr="00C73419">
              <w:rPr>
                <w:rFonts w:ascii="Times New Roman" w:hAnsi="Times New Roman"/>
              </w:rPr>
              <w:t>prowadzenie cyklicznej aktualizacji ocen wydaje się nieuzasadnione</w:t>
            </w:r>
            <w:r w:rsidR="00D54703">
              <w:rPr>
                <w:rFonts w:ascii="Times New Roman" w:hAnsi="Times New Roman"/>
              </w:rPr>
              <w:t xml:space="preserve">.  </w:t>
            </w:r>
          </w:p>
        </w:tc>
      </w:tr>
      <w:tr w:rsidR="0095120B" w:rsidRPr="0095120B" w14:paraId="5F250AF6" w14:textId="77777777" w:rsidTr="004663A3">
        <w:trPr>
          <w:trHeight w:val="142"/>
        </w:trPr>
        <w:tc>
          <w:tcPr>
            <w:tcW w:w="10803" w:type="dxa"/>
            <w:gridSpan w:val="27"/>
            <w:shd w:val="clear" w:color="auto" w:fill="99CCFF"/>
            <w:vAlign w:val="center"/>
          </w:tcPr>
          <w:p w14:paraId="1F3569B5" w14:textId="37711659" w:rsidR="008D4AC8" w:rsidRPr="0095120B" w:rsidRDefault="005D311E" w:rsidP="008D4AC8">
            <w:pPr>
              <w:numPr>
                <w:ilvl w:val="0"/>
                <w:numId w:val="1"/>
              </w:numPr>
              <w:spacing w:before="60" w:after="60" w:line="240" w:lineRule="auto"/>
              <w:ind w:left="318" w:hanging="284"/>
              <w:jc w:val="both"/>
              <w:rPr>
                <w:rFonts w:ascii="Times New Roman" w:hAnsi="Times New Roman"/>
                <w:b/>
              </w:rPr>
            </w:pPr>
            <w:r>
              <w:rPr>
                <w:rFonts w:ascii="Times New Roman" w:hAnsi="Times New Roman"/>
                <w:b/>
                <w:spacing w:val="-2"/>
              </w:rPr>
              <w:lastRenderedPageBreak/>
              <w:t xml:space="preserve"> </w:t>
            </w:r>
            <w:r w:rsidR="008D4AC8" w:rsidRPr="0095120B">
              <w:rPr>
                <w:rFonts w:ascii="Times New Roman" w:hAnsi="Times New Roman"/>
                <w:b/>
                <w:spacing w:val="-2"/>
              </w:rPr>
              <w:t xml:space="preserve">Rekomendowane rozwiązanie, w tym planowane narzędzia </w:t>
            </w:r>
            <w:r w:rsidR="009A4658" w:rsidRPr="0095120B">
              <w:rPr>
                <w:rFonts w:ascii="Times New Roman" w:hAnsi="Times New Roman"/>
                <w:b/>
                <w:spacing w:val="-2"/>
              </w:rPr>
              <w:t>interwencji</w:t>
            </w:r>
            <w:r w:rsidR="008D4AC8" w:rsidRPr="0095120B">
              <w:rPr>
                <w:rFonts w:ascii="Times New Roman" w:hAnsi="Times New Roman"/>
                <w:b/>
                <w:spacing w:val="-2"/>
              </w:rPr>
              <w:t xml:space="preserve"> i oczekiwany efekt</w:t>
            </w:r>
          </w:p>
        </w:tc>
      </w:tr>
      <w:tr w:rsidR="0095120B" w:rsidRPr="0095120B" w14:paraId="31FAF2DC" w14:textId="77777777" w:rsidTr="004663A3">
        <w:trPr>
          <w:trHeight w:val="142"/>
        </w:trPr>
        <w:tc>
          <w:tcPr>
            <w:tcW w:w="10803" w:type="dxa"/>
            <w:gridSpan w:val="27"/>
            <w:shd w:val="clear" w:color="auto" w:fill="auto"/>
          </w:tcPr>
          <w:p w14:paraId="5641E34C" w14:textId="3D66310D" w:rsidR="008147E3" w:rsidRPr="0095120B" w:rsidRDefault="006D3BB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F94637" w:rsidRPr="0095120B">
              <w:rPr>
                <w:rFonts w:ascii="Times New Roman" w:hAnsi="Times New Roman"/>
                <w:bCs/>
                <w:spacing w:val="-2"/>
              </w:rPr>
              <w:t xml:space="preserve"> związku z problemem wskazanym w pkt 1 w sekcji 1 OS</w:t>
            </w:r>
            <w:r w:rsidR="00A219FD" w:rsidRPr="0095120B">
              <w:rPr>
                <w:rFonts w:ascii="Times New Roman" w:hAnsi="Times New Roman"/>
                <w:bCs/>
                <w:spacing w:val="-2"/>
              </w:rPr>
              <w:t>R</w:t>
            </w:r>
            <w:r w:rsidR="00F94637" w:rsidRPr="0095120B">
              <w:rPr>
                <w:rFonts w:ascii="Times New Roman" w:hAnsi="Times New Roman"/>
                <w:bCs/>
                <w:spacing w:val="-2"/>
              </w:rPr>
              <w:t xml:space="preserve"> proponuje się jego naprawę przez zniesienie wymogu </w:t>
            </w:r>
            <w:r w:rsidR="00FA3DEE" w:rsidRPr="00FA3DEE">
              <w:rPr>
                <w:rFonts w:ascii="Times New Roman" w:hAnsi="Times New Roman"/>
                <w:bCs/>
                <w:spacing w:val="-2"/>
              </w:rPr>
              <w:t>przedstawiania deklaracji dostaw zgodnej z wymogiem</w:t>
            </w:r>
            <w:r w:rsidR="00FA3DEE">
              <w:rPr>
                <w:rFonts w:ascii="Times New Roman" w:hAnsi="Times New Roman"/>
                <w:bCs/>
                <w:spacing w:val="-2"/>
              </w:rPr>
              <w:t xml:space="preserve"> wzoru</w:t>
            </w:r>
            <w:r w:rsidR="00F94637" w:rsidRPr="0095120B">
              <w:rPr>
                <w:rFonts w:ascii="Times New Roman" w:hAnsi="Times New Roman"/>
                <w:bCs/>
                <w:spacing w:val="-2"/>
              </w:rPr>
              <w:t xml:space="preserve">, a zostanie to osiągnięte przez </w:t>
            </w:r>
            <w:r w:rsidR="00150FC7">
              <w:rPr>
                <w:rFonts w:ascii="Times New Roman" w:hAnsi="Times New Roman"/>
                <w:bCs/>
                <w:spacing w:val="-2"/>
              </w:rPr>
              <w:t>wykreślenie z</w:t>
            </w:r>
            <w:r w:rsidR="00150FC7" w:rsidRPr="0095120B">
              <w:rPr>
                <w:rFonts w:ascii="Times New Roman" w:hAnsi="Times New Roman"/>
                <w:bCs/>
                <w:spacing w:val="-2"/>
              </w:rPr>
              <w:t xml:space="preserve"> </w:t>
            </w:r>
            <w:r w:rsidR="008147E3" w:rsidRPr="0095120B">
              <w:rPr>
                <w:rFonts w:ascii="Times New Roman" w:hAnsi="Times New Roman"/>
                <w:bCs/>
                <w:spacing w:val="-2"/>
              </w:rPr>
              <w:t>art. 25 pkt 4</w:t>
            </w:r>
            <w:r w:rsidR="000D357A" w:rsidRPr="0095120B">
              <w:rPr>
                <w:rFonts w:ascii="Times New Roman" w:hAnsi="Times New Roman"/>
                <w:bCs/>
                <w:spacing w:val="-2"/>
              </w:rPr>
              <w:t xml:space="preserve"> ustawy </w:t>
            </w:r>
            <w:r w:rsidR="00270CF5" w:rsidRPr="0095120B">
              <w:rPr>
                <w:rFonts w:ascii="Times New Roman" w:hAnsi="Times New Roman"/>
                <w:bCs/>
                <w:spacing w:val="-2"/>
              </w:rPr>
              <w:t>refundacyjnej</w:t>
            </w:r>
            <w:r w:rsidR="008147E3" w:rsidRPr="0095120B">
              <w:rPr>
                <w:rFonts w:ascii="Times New Roman" w:hAnsi="Times New Roman"/>
                <w:bCs/>
                <w:spacing w:val="-2"/>
              </w:rPr>
              <w:t xml:space="preserve"> </w:t>
            </w:r>
            <w:r w:rsidR="002A6645">
              <w:rPr>
                <w:rFonts w:ascii="Times New Roman" w:hAnsi="Times New Roman"/>
                <w:bCs/>
                <w:spacing w:val="-2"/>
              </w:rPr>
              <w:t>wz</w:t>
            </w:r>
            <w:r w:rsidR="00150FC7">
              <w:rPr>
                <w:rFonts w:ascii="Times New Roman" w:hAnsi="Times New Roman"/>
                <w:bCs/>
                <w:spacing w:val="-2"/>
              </w:rPr>
              <w:t>oru</w:t>
            </w:r>
            <w:r w:rsidR="002A6645">
              <w:rPr>
                <w:rFonts w:ascii="Times New Roman" w:hAnsi="Times New Roman"/>
                <w:bCs/>
                <w:spacing w:val="-2"/>
              </w:rPr>
              <w:t xml:space="preserve"> na wielkość </w:t>
            </w:r>
            <w:r w:rsidR="008147E3" w:rsidRPr="0095120B">
              <w:rPr>
                <w:rFonts w:ascii="Times New Roman" w:hAnsi="Times New Roman"/>
                <w:bCs/>
                <w:spacing w:val="-2"/>
              </w:rPr>
              <w:t>dostaw</w:t>
            </w:r>
            <w:r w:rsidR="00F94637" w:rsidRPr="0095120B">
              <w:rPr>
                <w:rFonts w:ascii="Times New Roman" w:hAnsi="Times New Roman"/>
                <w:bCs/>
                <w:spacing w:val="-2"/>
              </w:rPr>
              <w:t>, który w strukturze ustawy refundacyjnej odpowiada temu obowiązkowi</w:t>
            </w:r>
            <w:r w:rsidR="009F3719" w:rsidRPr="0095120B">
              <w:rPr>
                <w:rFonts w:ascii="Times New Roman" w:hAnsi="Times New Roman"/>
                <w:bCs/>
                <w:spacing w:val="-2"/>
              </w:rPr>
              <w:t>;</w:t>
            </w:r>
            <w:r w:rsidR="00F94637" w:rsidRPr="0095120B">
              <w:rPr>
                <w:rFonts w:ascii="Times New Roman" w:hAnsi="Times New Roman"/>
                <w:bCs/>
                <w:spacing w:val="-2"/>
              </w:rPr>
              <w:t xml:space="preserve"> </w:t>
            </w:r>
            <w:r w:rsidR="009F3719" w:rsidRPr="0095120B">
              <w:rPr>
                <w:rFonts w:ascii="Times New Roman" w:hAnsi="Times New Roman"/>
                <w:bCs/>
                <w:spacing w:val="-2"/>
              </w:rPr>
              <w:t>e</w:t>
            </w:r>
            <w:r w:rsidR="00F94637" w:rsidRPr="0095120B">
              <w:rPr>
                <w:rFonts w:ascii="Times New Roman" w:hAnsi="Times New Roman"/>
                <w:bCs/>
                <w:spacing w:val="-2"/>
              </w:rPr>
              <w:t xml:space="preserve">fektem tego działania będzie </w:t>
            </w:r>
            <w:r w:rsidR="00772265" w:rsidRPr="0095120B">
              <w:rPr>
                <w:rFonts w:ascii="Times New Roman" w:hAnsi="Times New Roman"/>
                <w:bCs/>
                <w:spacing w:val="-2"/>
              </w:rPr>
              <w:t>optymalizacja przebiegu</w:t>
            </w:r>
            <w:r w:rsidR="00F94637" w:rsidRPr="0095120B">
              <w:rPr>
                <w:rFonts w:ascii="Times New Roman" w:hAnsi="Times New Roman"/>
                <w:bCs/>
                <w:spacing w:val="-2"/>
              </w:rPr>
              <w:t xml:space="preserve"> rozpatrywania wniosków refundacyjnych. </w:t>
            </w:r>
            <w:r w:rsidR="008147E3" w:rsidRPr="0095120B">
              <w:rPr>
                <w:rFonts w:ascii="Times New Roman" w:hAnsi="Times New Roman"/>
                <w:bCs/>
                <w:spacing w:val="-2"/>
              </w:rPr>
              <w:t>Obowiązek ten zostanie zastąpiony negocjacjami w zakresie wielkości dostaw przez Komisję Ekonomiczną</w:t>
            </w:r>
            <w:r w:rsidR="00266156">
              <w:rPr>
                <w:rFonts w:ascii="Times New Roman" w:hAnsi="Times New Roman"/>
                <w:bCs/>
                <w:spacing w:val="-2"/>
              </w:rPr>
              <w:t>. W związku z powyższą zmianą</w:t>
            </w:r>
            <w:r w:rsidR="00AF45A3">
              <w:rPr>
                <w:rFonts w:ascii="Times New Roman" w:hAnsi="Times New Roman"/>
                <w:bCs/>
                <w:spacing w:val="-2"/>
              </w:rPr>
              <w:t>,</w:t>
            </w:r>
            <w:r w:rsidR="00266156">
              <w:rPr>
                <w:rFonts w:ascii="Times New Roman" w:hAnsi="Times New Roman"/>
                <w:bCs/>
                <w:spacing w:val="-2"/>
              </w:rPr>
              <w:t xml:space="preserve"> konieczne będą zmiany dostosowujące </w:t>
            </w:r>
            <w:r w:rsidR="00AD3916">
              <w:rPr>
                <w:rFonts w:ascii="Times New Roman" w:hAnsi="Times New Roman"/>
                <w:bCs/>
                <w:spacing w:val="-2"/>
              </w:rPr>
              <w:t>w pozostałych przepisach referujących do zobowiązania dotyczącego dostaw</w:t>
            </w:r>
            <w:r w:rsidRPr="0095120B">
              <w:rPr>
                <w:rFonts w:ascii="Times New Roman" w:hAnsi="Times New Roman"/>
                <w:bCs/>
                <w:spacing w:val="-2"/>
              </w:rPr>
              <w:t>;</w:t>
            </w:r>
          </w:p>
          <w:p w14:paraId="5E033B39" w14:textId="78C56783" w:rsidR="00F94637" w:rsidRPr="0095120B" w:rsidRDefault="006D3BB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F94637" w:rsidRPr="0095120B">
              <w:rPr>
                <w:rFonts w:ascii="Times New Roman" w:hAnsi="Times New Roman"/>
                <w:bCs/>
                <w:spacing w:val="-2"/>
              </w:rPr>
              <w:t xml:space="preserve"> związku z problemem wskazanym w pkt 2 w sekcji 1 OSR proponuje się jego naprawę </w:t>
            </w:r>
            <w:r w:rsidR="008147E3" w:rsidRPr="0095120B">
              <w:rPr>
                <w:rFonts w:ascii="Times New Roman" w:hAnsi="Times New Roman"/>
                <w:bCs/>
                <w:spacing w:val="-2"/>
              </w:rPr>
              <w:t>p</w:t>
            </w:r>
            <w:r w:rsidR="00F94637" w:rsidRPr="0095120B">
              <w:rPr>
                <w:rFonts w:ascii="Times New Roman" w:hAnsi="Times New Roman"/>
                <w:bCs/>
                <w:spacing w:val="-2"/>
              </w:rPr>
              <w:t xml:space="preserve">rzez zniesienie wymogu dostarczania </w:t>
            </w:r>
            <w:r w:rsidR="00A219FD" w:rsidRPr="0095120B">
              <w:rPr>
                <w:rFonts w:ascii="Times New Roman" w:hAnsi="Times New Roman"/>
                <w:bCs/>
                <w:spacing w:val="-2"/>
              </w:rPr>
              <w:t>a</w:t>
            </w:r>
            <w:r w:rsidR="00F94637" w:rsidRPr="0095120B">
              <w:rPr>
                <w:rFonts w:ascii="Times New Roman" w:hAnsi="Times New Roman"/>
                <w:bCs/>
                <w:spacing w:val="-2"/>
              </w:rPr>
              <w:t xml:space="preserve">sortymentu deficytowego do 10 największych hurtowni farmaceutycznych, a zostanie to osiągnięte przez uchylenie przepisu </w:t>
            </w:r>
            <w:r w:rsidR="008147E3" w:rsidRPr="0095120B">
              <w:rPr>
                <w:rFonts w:ascii="Times New Roman" w:hAnsi="Times New Roman"/>
                <w:bCs/>
                <w:spacing w:val="-2"/>
              </w:rPr>
              <w:t>art. 34 ust 3a</w:t>
            </w:r>
            <w:r w:rsidR="00B9048A">
              <w:rPr>
                <w:rFonts w:ascii="Times New Roman" w:hAnsi="Times New Roman"/>
                <w:bCs/>
                <w:spacing w:val="-2"/>
              </w:rPr>
              <w:t xml:space="preserve"> i </w:t>
            </w:r>
            <w:r w:rsidR="008147E3" w:rsidRPr="0095120B">
              <w:rPr>
                <w:rFonts w:ascii="Times New Roman" w:hAnsi="Times New Roman"/>
                <w:bCs/>
                <w:spacing w:val="-2"/>
              </w:rPr>
              <w:t>3b</w:t>
            </w:r>
            <w:r w:rsidR="000D357A" w:rsidRPr="0095120B">
              <w:rPr>
                <w:rFonts w:ascii="Times New Roman" w:hAnsi="Times New Roman"/>
                <w:bCs/>
                <w:spacing w:val="-2"/>
              </w:rPr>
              <w:t xml:space="preserve"> ustawy </w:t>
            </w:r>
            <w:r w:rsidR="00827A1A" w:rsidRPr="0095120B">
              <w:rPr>
                <w:rFonts w:ascii="Times New Roman" w:hAnsi="Times New Roman"/>
                <w:bCs/>
                <w:spacing w:val="-2"/>
              </w:rPr>
              <w:t>refundacyjnej</w:t>
            </w:r>
            <w:r w:rsidR="00E729FA" w:rsidRPr="0095120B">
              <w:rPr>
                <w:rFonts w:ascii="Times New Roman" w:hAnsi="Times New Roman"/>
                <w:bCs/>
                <w:spacing w:val="-2"/>
              </w:rPr>
              <w:t>.</w:t>
            </w:r>
            <w:r w:rsidR="00F94637" w:rsidRPr="0095120B">
              <w:rPr>
                <w:rFonts w:ascii="Times New Roman" w:hAnsi="Times New Roman"/>
                <w:bCs/>
                <w:spacing w:val="-2"/>
              </w:rPr>
              <w:t xml:space="preserve"> Efektem tego zabiegu będzie usunięcie wymogu, który w ocenie </w:t>
            </w:r>
            <w:r w:rsidR="008147E3" w:rsidRPr="0095120B">
              <w:rPr>
                <w:rFonts w:ascii="Times New Roman" w:hAnsi="Times New Roman"/>
                <w:bCs/>
                <w:spacing w:val="-2"/>
              </w:rPr>
              <w:t xml:space="preserve">organizacji branżowych </w:t>
            </w:r>
            <w:r w:rsidR="00F94637" w:rsidRPr="0095120B">
              <w:rPr>
                <w:rFonts w:ascii="Times New Roman" w:hAnsi="Times New Roman"/>
                <w:bCs/>
                <w:spacing w:val="-2"/>
              </w:rPr>
              <w:t xml:space="preserve">jest jednym z kilku największych problemów </w:t>
            </w:r>
            <w:r w:rsidR="008147E3" w:rsidRPr="0095120B">
              <w:rPr>
                <w:rFonts w:ascii="Times New Roman" w:hAnsi="Times New Roman"/>
                <w:bCs/>
                <w:spacing w:val="-2"/>
              </w:rPr>
              <w:t xml:space="preserve">i </w:t>
            </w:r>
            <w:r w:rsidR="00F94637" w:rsidRPr="0095120B">
              <w:rPr>
                <w:rFonts w:ascii="Times New Roman" w:hAnsi="Times New Roman"/>
                <w:bCs/>
                <w:spacing w:val="-2"/>
              </w:rPr>
              <w:t xml:space="preserve">nietrafionych rozwiązań wprowadzonych do ustawy refundacyjnej </w:t>
            </w:r>
            <w:r w:rsidR="008147E3" w:rsidRPr="0095120B">
              <w:rPr>
                <w:rFonts w:ascii="Times New Roman" w:hAnsi="Times New Roman"/>
                <w:bCs/>
                <w:spacing w:val="-2"/>
              </w:rPr>
              <w:t xml:space="preserve">nowelizacją z </w:t>
            </w:r>
            <w:r w:rsidR="00F94637" w:rsidRPr="0095120B">
              <w:rPr>
                <w:rFonts w:ascii="Times New Roman" w:hAnsi="Times New Roman"/>
                <w:bCs/>
                <w:spacing w:val="-2"/>
              </w:rPr>
              <w:t>2023 r.</w:t>
            </w:r>
            <w:r w:rsidRPr="0095120B">
              <w:rPr>
                <w:rFonts w:ascii="Times New Roman" w:hAnsi="Times New Roman"/>
                <w:bCs/>
                <w:spacing w:val="-2"/>
              </w:rPr>
              <w:t>;</w:t>
            </w:r>
          </w:p>
          <w:p w14:paraId="3D03EB86" w14:textId="65AD5CB7" w:rsidR="00F94637" w:rsidRPr="0095120B" w:rsidRDefault="006D3BB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F94637" w:rsidRPr="0095120B">
              <w:rPr>
                <w:rFonts w:ascii="Times New Roman" w:hAnsi="Times New Roman"/>
                <w:bCs/>
                <w:spacing w:val="-2"/>
              </w:rPr>
              <w:t xml:space="preserve"> związku z problemem wskazanym w pkt </w:t>
            </w:r>
            <w:r w:rsidR="008147E3" w:rsidRPr="0095120B">
              <w:rPr>
                <w:rFonts w:ascii="Times New Roman" w:hAnsi="Times New Roman"/>
                <w:bCs/>
                <w:spacing w:val="-2"/>
              </w:rPr>
              <w:t>3 i 4</w:t>
            </w:r>
            <w:r w:rsidR="00F94637" w:rsidRPr="0095120B">
              <w:rPr>
                <w:rFonts w:ascii="Times New Roman" w:hAnsi="Times New Roman"/>
                <w:bCs/>
                <w:spacing w:val="-2"/>
              </w:rPr>
              <w:t xml:space="preserve"> w sekcji 1 OSR proponuje się jego naprawę przez </w:t>
            </w:r>
            <w:r w:rsidR="00E14CEC" w:rsidRPr="0095120B">
              <w:rPr>
                <w:rFonts w:ascii="Times New Roman" w:hAnsi="Times New Roman"/>
                <w:bCs/>
                <w:spacing w:val="-2"/>
              </w:rPr>
              <w:t xml:space="preserve">uchylenie </w:t>
            </w:r>
            <w:r w:rsidR="00F94637" w:rsidRPr="0095120B">
              <w:rPr>
                <w:rFonts w:ascii="Times New Roman" w:hAnsi="Times New Roman"/>
                <w:bCs/>
                <w:spacing w:val="-2"/>
              </w:rPr>
              <w:t>przepi</w:t>
            </w:r>
            <w:r w:rsidR="008147E3" w:rsidRPr="0095120B">
              <w:rPr>
                <w:rFonts w:ascii="Times New Roman" w:hAnsi="Times New Roman"/>
                <w:bCs/>
                <w:spacing w:val="-2"/>
              </w:rPr>
              <w:t>sów określając</w:t>
            </w:r>
            <w:r w:rsidR="00E14CEC" w:rsidRPr="0095120B">
              <w:rPr>
                <w:rFonts w:ascii="Times New Roman" w:hAnsi="Times New Roman"/>
                <w:bCs/>
                <w:spacing w:val="-2"/>
              </w:rPr>
              <w:t>ych</w:t>
            </w:r>
            <w:r w:rsidR="008147E3" w:rsidRPr="0095120B">
              <w:rPr>
                <w:rFonts w:ascii="Times New Roman" w:hAnsi="Times New Roman"/>
                <w:bCs/>
                <w:spacing w:val="-2"/>
              </w:rPr>
              <w:t xml:space="preserve"> obowiązek obligatoryjnego umorzenia postępowania przez </w:t>
            </w:r>
            <w:r w:rsidR="00E729FA" w:rsidRPr="0095120B">
              <w:rPr>
                <w:rFonts w:ascii="Times New Roman" w:hAnsi="Times New Roman"/>
                <w:bCs/>
                <w:spacing w:val="-2"/>
              </w:rPr>
              <w:t>M</w:t>
            </w:r>
            <w:r w:rsidR="00E14CEC" w:rsidRPr="0095120B">
              <w:rPr>
                <w:rFonts w:ascii="Times New Roman" w:hAnsi="Times New Roman"/>
                <w:bCs/>
                <w:spacing w:val="-2"/>
              </w:rPr>
              <w:t>inistra Zdrowia</w:t>
            </w:r>
            <w:r w:rsidR="00DC0817">
              <w:rPr>
                <w:rFonts w:ascii="Times New Roman" w:hAnsi="Times New Roman"/>
                <w:bCs/>
                <w:spacing w:val="-2"/>
              </w:rPr>
              <w:t>,</w:t>
            </w:r>
            <w:r w:rsidR="008147E3" w:rsidRPr="0095120B">
              <w:rPr>
                <w:rFonts w:ascii="Times New Roman" w:hAnsi="Times New Roman"/>
                <w:bCs/>
                <w:spacing w:val="-2"/>
              </w:rPr>
              <w:t xml:space="preserve"> </w:t>
            </w:r>
            <w:r w:rsidR="000D357A" w:rsidRPr="0095120B">
              <w:rPr>
                <w:rFonts w:ascii="Times New Roman" w:hAnsi="Times New Roman"/>
                <w:bCs/>
                <w:spacing w:val="-2"/>
              </w:rPr>
              <w:t>powiązanych z ważnością składanych analiz oraz braku uzupełnienia wniosku</w:t>
            </w:r>
            <w:r w:rsidR="00856098" w:rsidRPr="0095120B">
              <w:rPr>
                <w:rFonts w:ascii="Times New Roman" w:hAnsi="Times New Roman"/>
                <w:bCs/>
                <w:spacing w:val="-2"/>
              </w:rPr>
              <w:t xml:space="preserve"> refundacyjnego</w:t>
            </w:r>
            <w:r w:rsidR="000D357A" w:rsidRPr="0095120B">
              <w:rPr>
                <w:rFonts w:ascii="Times New Roman" w:hAnsi="Times New Roman"/>
                <w:bCs/>
                <w:spacing w:val="-2"/>
              </w:rPr>
              <w:t xml:space="preserve"> w związku z</w:t>
            </w:r>
            <w:r w:rsidR="00856098" w:rsidRPr="0095120B">
              <w:rPr>
                <w:rFonts w:ascii="Times New Roman" w:hAnsi="Times New Roman"/>
                <w:bCs/>
                <w:spacing w:val="-2"/>
              </w:rPr>
              <w:t> </w:t>
            </w:r>
            <w:r w:rsidR="000D357A" w:rsidRPr="0095120B">
              <w:rPr>
                <w:rFonts w:ascii="Times New Roman" w:hAnsi="Times New Roman"/>
                <w:bCs/>
                <w:spacing w:val="-2"/>
              </w:rPr>
              <w:t xml:space="preserve">wydaniem rekomendacji Prezesa </w:t>
            </w:r>
            <w:r w:rsidR="00434097">
              <w:rPr>
                <w:rFonts w:ascii="Times New Roman" w:hAnsi="Times New Roman"/>
              </w:rPr>
              <w:t>AOTMiT</w:t>
            </w:r>
            <w:r w:rsidR="000D357A" w:rsidRPr="0095120B">
              <w:rPr>
                <w:rFonts w:ascii="Times New Roman" w:hAnsi="Times New Roman"/>
                <w:bCs/>
                <w:spacing w:val="-2"/>
              </w:rPr>
              <w:t xml:space="preserve">, </w:t>
            </w:r>
            <w:r w:rsidR="008147E3" w:rsidRPr="0095120B">
              <w:rPr>
                <w:rFonts w:ascii="Times New Roman" w:hAnsi="Times New Roman"/>
                <w:bCs/>
                <w:spacing w:val="-2"/>
              </w:rPr>
              <w:t xml:space="preserve">a więc art. </w:t>
            </w:r>
            <w:r w:rsidR="000D357A" w:rsidRPr="0095120B">
              <w:rPr>
                <w:rFonts w:ascii="Times New Roman" w:hAnsi="Times New Roman"/>
                <w:bCs/>
                <w:spacing w:val="-2"/>
              </w:rPr>
              <w:t xml:space="preserve">35 </w:t>
            </w:r>
            <w:r w:rsidR="00B31C5C">
              <w:rPr>
                <w:rFonts w:ascii="Times New Roman" w:hAnsi="Times New Roman"/>
                <w:bCs/>
                <w:spacing w:val="-2"/>
              </w:rPr>
              <w:t xml:space="preserve">w </w:t>
            </w:r>
            <w:r w:rsidR="000D357A" w:rsidRPr="0095120B">
              <w:rPr>
                <w:rFonts w:ascii="Times New Roman" w:hAnsi="Times New Roman"/>
                <w:bCs/>
                <w:spacing w:val="-2"/>
              </w:rPr>
              <w:t xml:space="preserve">ust. 2 zdanie </w:t>
            </w:r>
            <w:r w:rsidR="00005068">
              <w:rPr>
                <w:rFonts w:ascii="Times New Roman" w:hAnsi="Times New Roman"/>
                <w:bCs/>
                <w:spacing w:val="-2"/>
              </w:rPr>
              <w:t>3</w:t>
            </w:r>
            <w:r w:rsidR="00C73419">
              <w:rPr>
                <w:rFonts w:ascii="Times New Roman" w:hAnsi="Times New Roman"/>
                <w:bCs/>
                <w:spacing w:val="-2"/>
              </w:rPr>
              <w:t>, a także uchylenie</w:t>
            </w:r>
            <w:r w:rsidR="00C73419" w:rsidRPr="0095120B">
              <w:rPr>
                <w:rFonts w:ascii="Times New Roman" w:hAnsi="Times New Roman"/>
                <w:bCs/>
                <w:spacing w:val="-2"/>
              </w:rPr>
              <w:t xml:space="preserve"> ust</w:t>
            </w:r>
            <w:r w:rsidR="000D357A" w:rsidRPr="0095120B">
              <w:rPr>
                <w:rFonts w:ascii="Times New Roman" w:hAnsi="Times New Roman"/>
                <w:bCs/>
                <w:spacing w:val="-2"/>
              </w:rPr>
              <w:t>. 8</w:t>
            </w:r>
            <w:r w:rsidR="00C73419">
              <w:rPr>
                <w:rFonts w:ascii="Times New Roman" w:hAnsi="Times New Roman"/>
                <w:bCs/>
                <w:spacing w:val="-2"/>
              </w:rPr>
              <w:t>a</w:t>
            </w:r>
            <w:r w:rsidR="00F91565">
              <w:rPr>
                <w:rFonts w:ascii="Times New Roman" w:hAnsi="Times New Roman"/>
                <w:bCs/>
                <w:spacing w:val="-2"/>
              </w:rPr>
              <w:t>–</w:t>
            </w:r>
            <w:r w:rsidR="00C73419">
              <w:rPr>
                <w:rFonts w:ascii="Times New Roman" w:hAnsi="Times New Roman"/>
                <w:bCs/>
                <w:spacing w:val="-2"/>
              </w:rPr>
              <w:t>8c</w:t>
            </w:r>
            <w:r w:rsidR="000D357A" w:rsidRPr="0095120B">
              <w:rPr>
                <w:rFonts w:ascii="Times New Roman" w:hAnsi="Times New Roman"/>
                <w:bCs/>
                <w:spacing w:val="-2"/>
              </w:rPr>
              <w:t xml:space="preserve"> oraz art. </w:t>
            </w:r>
            <w:r w:rsidR="008147E3" w:rsidRPr="0095120B">
              <w:rPr>
                <w:rFonts w:ascii="Times New Roman" w:hAnsi="Times New Roman"/>
                <w:bCs/>
                <w:spacing w:val="-2"/>
              </w:rPr>
              <w:t>36</w:t>
            </w:r>
            <w:r w:rsidR="00005068">
              <w:rPr>
                <w:rFonts w:ascii="Times New Roman" w:hAnsi="Times New Roman"/>
                <w:bCs/>
                <w:spacing w:val="-2"/>
              </w:rPr>
              <w:t>a</w:t>
            </w:r>
            <w:r w:rsidR="008147E3" w:rsidRPr="0095120B">
              <w:rPr>
                <w:rFonts w:ascii="Times New Roman" w:hAnsi="Times New Roman"/>
                <w:bCs/>
                <w:spacing w:val="-2"/>
              </w:rPr>
              <w:t xml:space="preserve"> ust. 2</w:t>
            </w:r>
            <w:r w:rsidR="000D357A" w:rsidRPr="0095120B">
              <w:rPr>
                <w:rFonts w:ascii="Times New Roman" w:hAnsi="Times New Roman"/>
                <w:bCs/>
                <w:spacing w:val="-2"/>
              </w:rPr>
              <w:t xml:space="preserve"> ustawy refundac</w:t>
            </w:r>
            <w:r w:rsidRPr="0095120B">
              <w:rPr>
                <w:rFonts w:ascii="Times New Roman" w:hAnsi="Times New Roman"/>
                <w:bCs/>
                <w:spacing w:val="-2"/>
              </w:rPr>
              <w:t>yjnej;</w:t>
            </w:r>
          </w:p>
          <w:p w14:paraId="70CF299E" w14:textId="2B7AAB76" w:rsidR="00F84182" w:rsidRPr="0095120B" w:rsidRDefault="006D3BB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0D357A" w:rsidRPr="0095120B">
              <w:rPr>
                <w:rFonts w:ascii="Times New Roman" w:hAnsi="Times New Roman"/>
                <w:bCs/>
                <w:spacing w:val="-2"/>
              </w:rPr>
              <w:t xml:space="preserve"> związku z problemem wskazanym w pkt 5 w sekcji 1 OSR</w:t>
            </w:r>
            <w:r w:rsidR="000D357A" w:rsidRPr="0095120B">
              <w:rPr>
                <w:rFonts w:ascii="Times New Roman" w:hAnsi="Times New Roman"/>
              </w:rPr>
              <w:t xml:space="preserve"> </w:t>
            </w:r>
            <w:r w:rsidR="000D357A" w:rsidRPr="0095120B">
              <w:rPr>
                <w:rFonts w:ascii="Times New Roman" w:hAnsi="Times New Roman"/>
                <w:bCs/>
                <w:spacing w:val="-2"/>
              </w:rPr>
              <w:t>proponuje się jego</w:t>
            </w:r>
            <w:r w:rsidR="009755B8">
              <w:rPr>
                <w:rFonts w:ascii="Times New Roman" w:hAnsi="Times New Roman"/>
                <w:bCs/>
                <w:spacing w:val="-2"/>
              </w:rPr>
              <w:t xml:space="preserve"> nadanie nowego brzmienia</w:t>
            </w:r>
            <w:r w:rsidRPr="0095120B">
              <w:rPr>
                <w:rFonts w:ascii="Times New Roman" w:hAnsi="Times New Roman"/>
                <w:bCs/>
                <w:spacing w:val="-2"/>
              </w:rPr>
              <w:t xml:space="preserve"> </w:t>
            </w:r>
            <w:r w:rsidR="000D357A" w:rsidRPr="0095120B">
              <w:rPr>
                <w:rFonts w:ascii="Times New Roman" w:hAnsi="Times New Roman"/>
                <w:bCs/>
                <w:spacing w:val="-2"/>
              </w:rPr>
              <w:t>art.</w:t>
            </w:r>
            <w:r w:rsidRPr="0095120B">
              <w:rPr>
                <w:rFonts w:ascii="Times New Roman" w:hAnsi="Times New Roman"/>
                <w:bCs/>
                <w:spacing w:val="-2"/>
              </w:rPr>
              <w:t xml:space="preserve"> </w:t>
            </w:r>
            <w:r w:rsidR="000D357A" w:rsidRPr="0095120B">
              <w:rPr>
                <w:rFonts w:ascii="Times New Roman" w:hAnsi="Times New Roman"/>
                <w:bCs/>
                <w:spacing w:val="-2"/>
              </w:rPr>
              <w:t xml:space="preserve">2 pkt 35a </w:t>
            </w:r>
            <w:r w:rsidRPr="0095120B">
              <w:rPr>
                <w:rFonts w:ascii="Times New Roman" w:hAnsi="Times New Roman"/>
                <w:bCs/>
                <w:spacing w:val="-2"/>
              </w:rPr>
              <w:t xml:space="preserve">ustawy z dnia 6 września 2001 r. </w:t>
            </w:r>
            <w:r w:rsidR="009F3719" w:rsidRPr="0095120B">
              <w:rPr>
                <w:rFonts w:ascii="Times New Roman" w:hAnsi="Times New Roman"/>
                <w:bCs/>
                <w:spacing w:val="-2"/>
              </w:rPr>
              <w:t>–</w:t>
            </w:r>
            <w:r w:rsidRPr="0095120B">
              <w:rPr>
                <w:rFonts w:ascii="Times New Roman" w:hAnsi="Times New Roman"/>
                <w:bCs/>
                <w:spacing w:val="-2"/>
              </w:rPr>
              <w:t xml:space="preserve"> Prawo farmaceutyczne;</w:t>
            </w:r>
          </w:p>
          <w:p w14:paraId="5BBEBD91" w14:textId="5B41EDDB" w:rsidR="00447A2D" w:rsidRPr="0095120B" w:rsidRDefault="0012237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 xml:space="preserve">w </w:t>
            </w:r>
            <w:r w:rsidR="00F84182" w:rsidRPr="0095120B">
              <w:rPr>
                <w:rFonts w:ascii="Times New Roman" w:hAnsi="Times New Roman"/>
                <w:bCs/>
                <w:spacing w:val="-2"/>
              </w:rPr>
              <w:t xml:space="preserve">związku z problemem wskazanym w pkt 6 sekcji </w:t>
            </w:r>
            <w:r w:rsidRPr="0095120B">
              <w:rPr>
                <w:rFonts w:ascii="Times New Roman" w:hAnsi="Times New Roman"/>
                <w:bCs/>
                <w:spacing w:val="-2"/>
              </w:rPr>
              <w:t xml:space="preserve">1 </w:t>
            </w:r>
            <w:r w:rsidR="00F84182" w:rsidRPr="0095120B">
              <w:rPr>
                <w:rFonts w:ascii="Times New Roman" w:hAnsi="Times New Roman"/>
                <w:bCs/>
                <w:spacing w:val="-2"/>
              </w:rPr>
              <w:t xml:space="preserve">OSR proponuje się jego naprawę </w:t>
            </w:r>
            <w:r w:rsidR="00772265" w:rsidRPr="0095120B">
              <w:rPr>
                <w:rFonts w:ascii="Times New Roman" w:hAnsi="Times New Roman"/>
                <w:bCs/>
                <w:spacing w:val="-2"/>
              </w:rPr>
              <w:t>drogą nadania nowego brzmienia</w:t>
            </w:r>
            <w:r w:rsidR="00F84182" w:rsidRPr="0095120B">
              <w:rPr>
                <w:rFonts w:ascii="Times New Roman" w:hAnsi="Times New Roman"/>
                <w:bCs/>
                <w:spacing w:val="-2"/>
              </w:rPr>
              <w:t xml:space="preserve"> </w:t>
            </w:r>
            <w:r w:rsidR="00FA3DEE" w:rsidRPr="00FA3DEE">
              <w:rPr>
                <w:rFonts w:ascii="Times New Roman" w:hAnsi="Times New Roman"/>
                <w:bCs/>
                <w:spacing w:val="-2"/>
              </w:rPr>
              <w:t>art. 36 ust. 6 ustawy refundacyjnej</w:t>
            </w:r>
            <w:r w:rsidR="00F84182" w:rsidRPr="0095120B">
              <w:rPr>
                <w:rFonts w:ascii="Times New Roman" w:hAnsi="Times New Roman"/>
                <w:bCs/>
                <w:spacing w:val="-2"/>
              </w:rPr>
              <w:t xml:space="preserve"> </w:t>
            </w:r>
            <w:r w:rsidR="00772265" w:rsidRPr="0095120B">
              <w:rPr>
                <w:rFonts w:ascii="Times New Roman" w:hAnsi="Times New Roman"/>
                <w:bCs/>
                <w:spacing w:val="-2"/>
              </w:rPr>
              <w:t>w taki sposób, aby</w:t>
            </w:r>
            <w:r w:rsidR="00F84182" w:rsidRPr="0095120B">
              <w:rPr>
                <w:rFonts w:ascii="Times New Roman" w:hAnsi="Times New Roman"/>
                <w:bCs/>
                <w:spacing w:val="-2"/>
              </w:rPr>
              <w:t xml:space="preserve"> ogranicz</w:t>
            </w:r>
            <w:r w:rsidR="00772265" w:rsidRPr="0095120B">
              <w:rPr>
                <w:rFonts w:ascii="Times New Roman" w:hAnsi="Times New Roman"/>
                <w:bCs/>
                <w:spacing w:val="-2"/>
              </w:rPr>
              <w:t>yć</w:t>
            </w:r>
            <w:r w:rsidR="00F84182" w:rsidRPr="0095120B">
              <w:rPr>
                <w:rFonts w:ascii="Times New Roman" w:hAnsi="Times New Roman"/>
                <w:bCs/>
                <w:spacing w:val="-2"/>
              </w:rPr>
              <w:t xml:space="preserve"> </w:t>
            </w:r>
            <w:r w:rsidR="00ED16ED">
              <w:rPr>
                <w:rFonts w:ascii="Times New Roman" w:hAnsi="Times New Roman"/>
                <w:bCs/>
                <w:spacing w:val="-2"/>
              </w:rPr>
              <w:t xml:space="preserve">wspomniany </w:t>
            </w:r>
            <w:r w:rsidR="00F84182" w:rsidRPr="0095120B">
              <w:rPr>
                <w:rFonts w:ascii="Times New Roman" w:hAnsi="Times New Roman"/>
                <w:bCs/>
                <w:spacing w:val="-2"/>
              </w:rPr>
              <w:t>obowiąz</w:t>
            </w:r>
            <w:r w:rsidR="00772265" w:rsidRPr="0095120B">
              <w:rPr>
                <w:rFonts w:ascii="Times New Roman" w:hAnsi="Times New Roman"/>
                <w:bCs/>
                <w:spacing w:val="-2"/>
              </w:rPr>
              <w:t>ek</w:t>
            </w:r>
            <w:r w:rsidR="00F84182" w:rsidRPr="0095120B">
              <w:rPr>
                <w:rFonts w:ascii="Times New Roman" w:hAnsi="Times New Roman"/>
                <w:bCs/>
                <w:spacing w:val="-2"/>
              </w:rPr>
              <w:t xml:space="preserve"> do </w:t>
            </w:r>
            <w:r w:rsidR="00D20D2E">
              <w:rPr>
                <w:rFonts w:ascii="Times New Roman" w:hAnsi="Times New Roman"/>
                <w:bCs/>
                <w:spacing w:val="-2"/>
              </w:rPr>
              <w:t xml:space="preserve">publikacji protokołów jedynie przy wydaniu </w:t>
            </w:r>
            <w:r w:rsidR="00F84182" w:rsidRPr="0095120B">
              <w:rPr>
                <w:rFonts w:ascii="Times New Roman" w:hAnsi="Times New Roman"/>
                <w:bCs/>
                <w:spacing w:val="-2"/>
              </w:rPr>
              <w:t xml:space="preserve">negatywnych </w:t>
            </w:r>
            <w:r w:rsidR="009611CF">
              <w:rPr>
                <w:rFonts w:ascii="Times New Roman" w:hAnsi="Times New Roman"/>
                <w:bCs/>
                <w:spacing w:val="-2"/>
              </w:rPr>
              <w:t>uchwał</w:t>
            </w:r>
            <w:r w:rsidR="009611CF" w:rsidRPr="0095120B">
              <w:rPr>
                <w:rFonts w:ascii="Times New Roman" w:hAnsi="Times New Roman"/>
                <w:bCs/>
                <w:spacing w:val="-2"/>
              </w:rPr>
              <w:t xml:space="preserve"> </w:t>
            </w:r>
            <w:r w:rsidR="00F84182" w:rsidRPr="0095120B">
              <w:rPr>
                <w:rFonts w:ascii="Times New Roman" w:hAnsi="Times New Roman"/>
                <w:bCs/>
                <w:spacing w:val="-2"/>
              </w:rPr>
              <w:t xml:space="preserve">dla leków nieposiadających swojego odpowiednika </w:t>
            </w:r>
            <w:r w:rsidR="00772265" w:rsidRPr="0095120B">
              <w:rPr>
                <w:rFonts w:ascii="Times New Roman" w:hAnsi="Times New Roman"/>
                <w:bCs/>
                <w:spacing w:val="-2"/>
              </w:rPr>
              <w:t>w</w:t>
            </w:r>
            <w:r w:rsidR="00F84182" w:rsidRPr="0095120B">
              <w:rPr>
                <w:rFonts w:ascii="Times New Roman" w:hAnsi="Times New Roman"/>
                <w:bCs/>
                <w:spacing w:val="-2"/>
              </w:rPr>
              <w:t xml:space="preserve"> wykazie leków refundowanych w danym wskazaniu</w:t>
            </w:r>
            <w:r w:rsidRPr="0095120B">
              <w:rPr>
                <w:rFonts w:ascii="Times New Roman" w:hAnsi="Times New Roman"/>
                <w:bCs/>
                <w:spacing w:val="-2"/>
              </w:rPr>
              <w:t>;</w:t>
            </w:r>
          </w:p>
          <w:p w14:paraId="4C40E3FE" w14:textId="0D792493" w:rsidR="001010AE" w:rsidRPr="0095120B" w:rsidRDefault="0012237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1010AE" w:rsidRPr="0095120B">
              <w:rPr>
                <w:rFonts w:ascii="Times New Roman" w:hAnsi="Times New Roman"/>
                <w:bCs/>
                <w:spacing w:val="-2"/>
              </w:rPr>
              <w:t xml:space="preserve"> związku z problemem wskazanym w pkt 7 w sekcji 1 OSR </w:t>
            </w:r>
            <w:r w:rsidR="0067413C">
              <w:rPr>
                <w:rFonts w:ascii="Times New Roman" w:hAnsi="Times New Roman"/>
                <w:bCs/>
                <w:spacing w:val="-2"/>
              </w:rPr>
              <w:t xml:space="preserve">proponuje się jego naprawę </w:t>
            </w:r>
            <w:r w:rsidR="001010AE" w:rsidRPr="0095120B">
              <w:rPr>
                <w:rFonts w:ascii="Times New Roman" w:hAnsi="Times New Roman"/>
                <w:bCs/>
                <w:spacing w:val="-2"/>
              </w:rPr>
              <w:t xml:space="preserve">przez rezygnację z </w:t>
            </w:r>
            <w:r w:rsidR="00C63616">
              <w:rPr>
                <w:rFonts w:ascii="Times New Roman" w:hAnsi="Times New Roman"/>
                <w:bCs/>
                <w:spacing w:val="-2"/>
              </w:rPr>
              <w:t>obowiązku</w:t>
            </w:r>
            <w:r w:rsidR="00C63616" w:rsidRPr="0095120B">
              <w:rPr>
                <w:rFonts w:ascii="Times New Roman" w:hAnsi="Times New Roman"/>
                <w:bCs/>
                <w:spacing w:val="-2"/>
              </w:rPr>
              <w:t xml:space="preserve"> </w:t>
            </w:r>
            <w:r w:rsidR="001010AE" w:rsidRPr="0095120B">
              <w:rPr>
                <w:rFonts w:ascii="Times New Roman" w:hAnsi="Times New Roman"/>
                <w:bCs/>
                <w:spacing w:val="-2"/>
              </w:rPr>
              <w:t>obniżenia ceny o</w:t>
            </w:r>
            <w:r w:rsidR="006A71F8">
              <w:rPr>
                <w:rFonts w:ascii="Times New Roman" w:hAnsi="Times New Roman"/>
                <w:bCs/>
                <w:spacing w:val="-2"/>
              </w:rPr>
              <w:t> </w:t>
            </w:r>
            <w:r w:rsidR="001010AE" w:rsidRPr="0095120B">
              <w:rPr>
                <w:rFonts w:ascii="Times New Roman" w:hAnsi="Times New Roman"/>
                <w:bCs/>
                <w:spacing w:val="-2"/>
              </w:rPr>
              <w:t>25</w:t>
            </w:r>
            <w:r w:rsidR="0086270E">
              <w:rPr>
                <w:rFonts w:ascii="Times New Roman" w:hAnsi="Times New Roman"/>
                <w:bCs/>
                <w:spacing w:val="-2"/>
              </w:rPr>
              <w:t xml:space="preserve"> punktów procentowych</w:t>
            </w:r>
            <w:r w:rsidR="001010AE" w:rsidRPr="0095120B">
              <w:rPr>
                <w:rFonts w:ascii="Times New Roman" w:hAnsi="Times New Roman"/>
                <w:bCs/>
                <w:spacing w:val="-2"/>
              </w:rPr>
              <w:t xml:space="preserve"> w przypadku</w:t>
            </w:r>
            <w:r w:rsidR="00DC7F99">
              <w:rPr>
                <w:rFonts w:ascii="Times New Roman" w:hAnsi="Times New Roman"/>
                <w:bCs/>
                <w:spacing w:val="-2"/>
              </w:rPr>
              <w:t>,</w:t>
            </w:r>
            <w:r w:rsidR="001010AE" w:rsidRPr="0095120B">
              <w:rPr>
                <w:rFonts w:ascii="Times New Roman" w:hAnsi="Times New Roman"/>
                <w:bCs/>
                <w:spacing w:val="-2"/>
              </w:rPr>
              <w:t xml:space="preserve"> kiedy mija ochrona wynikająca z patentu</w:t>
            </w:r>
            <w:r w:rsidRPr="0095120B">
              <w:rPr>
                <w:rFonts w:ascii="Times New Roman" w:hAnsi="Times New Roman"/>
                <w:bCs/>
                <w:spacing w:val="-2"/>
              </w:rPr>
              <w:t xml:space="preserve">, </w:t>
            </w:r>
            <w:r w:rsidR="00ED16ED">
              <w:rPr>
                <w:rFonts w:ascii="Times New Roman" w:hAnsi="Times New Roman"/>
                <w:bCs/>
                <w:spacing w:val="-2"/>
              </w:rPr>
              <w:t>o czym</w:t>
            </w:r>
            <w:r w:rsidR="00ED16ED" w:rsidRPr="0095120B">
              <w:rPr>
                <w:rFonts w:ascii="Times New Roman" w:hAnsi="Times New Roman"/>
                <w:bCs/>
                <w:spacing w:val="-2"/>
              </w:rPr>
              <w:t xml:space="preserve"> </w:t>
            </w:r>
            <w:r w:rsidRPr="0095120B">
              <w:rPr>
                <w:rFonts w:ascii="Times New Roman" w:hAnsi="Times New Roman"/>
                <w:bCs/>
                <w:spacing w:val="-2"/>
              </w:rPr>
              <w:t>mowa</w:t>
            </w:r>
            <w:r w:rsidR="00447A2D" w:rsidRPr="0095120B">
              <w:rPr>
                <w:rFonts w:ascii="Times New Roman" w:hAnsi="Times New Roman"/>
                <w:bCs/>
                <w:spacing w:val="-2"/>
              </w:rPr>
              <w:t xml:space="preserve"> w art. 11 ust 3a ustawy refundac</w:t>
            </w:r>
            <w:r w:rsidRPr="0095120B">
              <w:rPr>
                <w:rFonts w:ascii="Times New Roman" w:hAnsi="Times New Roman"/>
                <w:bCs/>
                <w:spacing w:val="-2"/>
              </w:rPr>
              <w:t>yjnej</w:t>
            </w:r>
            <w:r w:rsidR="00FA3DEE">
              <w:rPr>
                <w:rFonts w:ascii="Times New Roman" w:hAnsi="Times New Roman"/>
                <w:bCs/>
                <w:spacing w:val="-2"/>
              </w:rPr>
              <w:t>,</w:t>
            </w:r>
            <w:r w:rsidR="0028140F">
              <w:t xml:space="preserve"> </w:t>
            </w:r>
          </w:p>
          <w:p w14:paraId="615A5EAF" w14:textId="7B7CDB17" w:rsidR="000D357A" w:rsidRPr="0095120B" w:rsidRDefault="0012237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447A2D" w:rsidRPr="0095120B">
              <w:rPr>
                <w:rFonts w:ascii="Times New Roman" w:hAnsi="Times New Roman"/>
                <w:bCs/>
                <w:spacing w:val="-2"/>
              </w:rPr>
              <w:t xml:space="preserve"> związku z problemem wskazanym w pkt 8 w sekcji 1 OSR</w:t>
            </w:r>
            <w:r w:rsidRPr="0095120B">
              <w:rPr>
                <w:rFonts w:ascii="Times New Roman" w:hAnsi="Times New Roman"/>
                <w:bCs/>
                <w:spacing w:val="-2"/>
              </w:rPr>
              <w:t>, w celu wyeliminowania problemu</w:t>
            </w:r>
            <w:r w:rsidR="00C63616">
              <w:rPr>
                <w:rFonts w:ascii="Times New Roman" w:hAnsi="Times New Roman"/>
                <w:bCs/>
                <w:spacing w:val="-2"/>
              </w:rPr>
              <w:t>,</w:t>
            </w:r>
            <w:r w:rsidR="00447A2D" w:rsidRPr="0095120B">
              <w:rPr>
                <w:rFonts w:ascii="Times New Roman" w:hAnsi="Times New Roman"/>
                <w:bCs/>
                <w:spacing w:val="-2"/>
              </w:rPr>
              <w:t xml:space="preserve"> proponuje się zrównanie limitu finansowania między lekami gotowymi i lekami recepturowymi i ustalenie go</w:t>
            </w:r>
            <w:r w:rsidR="00F10EAB">
              <w:t xml:space="preserve"> </w:t>
            </w:r>
            <w:r w:rsidR="00F10EAB" w:rsidRPr="00F10EAB">
              <w:rPr>
                <w:rFonts w:ascii="Times New Roman" w:hAnsi="Times New Roman"/>
                <w:bCs/>
                <w:spacing w:val="-2"/>
              </w:rPr>
              <w:t>w art. 6 ust. 8a ustawy refundacyjnej</w:t>
            </w:r>
            <w:r w:rsidR="00447A2D" w:rsidRPr="0095120B">
              <w:rPr>
                <w:rFonts w:ascii="Times New Roman" w:hAnsi="Times New Roman"/>
                <w:bCs/>
                <w:spacing w:val="-2"/>
              </w:rPr>
              <w:t xml:space="preserve"> na poziomie 25 </w:t>
            </w:r>
            <w:proofErr w:type="spellStart"/>
            <w:r w:rsidR="00447A2D" w:rsidRPr="0095120B">
              <w:rPr>
                <w:rFonts w:ascii="Times New Roman" w:hAnsi="Times New Roman"/>
                <w:bCs/>
                <w:spacing w:val="-2"/>
              </w:rPr>
              <w:t>percentyla</w:t>
            </w:r>
            <w:proofErr w:type="spellEnd"/>
            <w:r w:rsidR="00447A2D" w:rsidRPr="0095120B">
              <w:rPr>
                <w:rFonts w:ascii="Times New Roman" w:hAnsi="Times New Roman"/>
                <w:bCs/>
                <w:spacing w:val="-2"/>
              </w:rPr>
              <w:t xml:space="preserve"> rozkładu cen danego surowca farmaceutycznego w roku poprzedzającym</w:t>
            </w:r>
            <w:r w:rsidR="0070219B">
              <w:rPr>
                <w:rFonts w:ascii="Times New Roman" w:hAnsi="Times New Roman"/>
                <w:bCs/>
                <w:spacing w:val="-2"/>
              </w:rPr>
              <w:t xml:space="preserve"> rok ustalenia limitu</w:t>
            </w:r>
            <w:r w:rsidR="00C63616">
              <w:rPr>
                <w:rFonts w:ascii="Times New Roman" w:hAnsi="Times New Roman"/>
                <w:bCs/>
                <w:spacing w:val="-2"/>
              </w:rPr>
              <w:t xml:space="preserve"> finansowania</w:t>
            </w:r>
            <w:r w:rsidR="0070219B">
              <w:rPr>
                <w:rFonts w:ascii="Times New Roman" w:hAnsi="Times New Roman"/>
                <w:bCs/>
                <w:spacing w:val="-2"/>
              </w:rPr>
              <w:t xml:space="preserve"> na surowce farmaceutyczne</w:t>
            </w:r>
            <w:r w:rsidRPr="0095120B">
              <w:rPr>
                <w:rFonts w:ascii="Times New Roman" w:hAnsi="Times New Roman"/>
                <w:bCs/>
                <w:spacing w:val="-2"/>
              </w:rPr>
              <w:t>;</w:t>
            </w:r>
          </w:p>
          <w:p w14:paraId="05785AE3" w14:textId="21A2EEE6" w:rsidR="00447A2D" w:rsidRPr="0095120B" w:rsidRDefault="0012237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447A2D" w:rsidRPr="0095120B">
              <w:rPr>
                <w:rFonts w:ascii="Times New Roman" w:hAnsi="Times New Roman"/>
                <w:bCs/>
                <w:spacing w:val="-2"/>
              </w:rPr>
              <w:t xml:space="preserve"> związku z problemem wskazanym w pkt 9</w:t>
            </w:r>
            <w:r w:rsidR="00C2485C" w:rsidRPr="0095120B">
              <w:rPr>
                <w:rFonts w:ascii="Times New Roman" w:hAnsi="Times New Roman"/>
                <w:bCs/>
                <w:spacing w:val="-2"/>
              </w:rPr>
              <w:t xml:space="preserve"> i 10</w:t>
            </w:r>
            <w:r w:rsidR="00447A2D" w:rsidRPr="0095120B">
              <w:rPr>
                <w:rFonts w:ascii="Times New Roman" w:hAnsi="Times New Roman"/>
                <w:bCs/>
                <w:spacing w:val="-2"/>
              </w:rPr>
              <w:t xml:space="preserve"> sekcji</w:t>
            </w:r>
            <w:r w:rsidR="00E729FA" w:rsidRPr="0095120B">
              <w:rPr>
                <w:rFonts w:ascii="Times New Roman" w:hAnsi="Times New Roman"/>
                <w:bCs/>
                <w:spacing w:val="-2"/>
              </w:rPr>
              <w:t xml:space="preserve"> 1</w:t>
            </w:r>
            <w:r w:rsidR="00447A2D" w:rsidRPr="0095120B">
              <w:rPr>
                <w:rFonts w:ascii="Times New Roman" w:hAnsi="Times New Roman"/>
                <w:bCs/>
                <w:spacing w:val="-2"/>
              </w:rPr>
              <w:t xml:space="preserve"> OSR proponuje się dodanie regulacji w zakresie:</w:t>
            </w:r>
          </w:p>
          <w:p w14:paraId="3B15BB1B" w14:textId="77777777" w:rsidR="00BE465F" w:rsidRPr="00BE465F" w:rsidRDefault="00BE465F" w:rsidP="00BE465F">
            <w:pPr>
              <w:numPr>
                <w:ilvl w:val="1"/>
                <w:numId w:val="39"/>
              </w:numPr>
              <w:spacing w:line="240" w:lineRule="auto"/>
              <w:jc w:val="both"/>
              <w:rPr>
                <w:rFonts w:ascii="Times New Roman" w:hAnsi="Times New Roman"/>
                <w:bCs/>
                <w:spacing w:val="-2"/>
              </w:rPr>
            </w:pPr>
            <w:r w:rsidRPr="00BE465F">
              <w:rPr>
                <w:rFonts w:ascii="Times New Roman" w:hAnsi="Times New Roman"/>
                <w:bCs/>
                <w:spacing w:val="-2"/>
              </w:rPr>
              <w:t xml:space="preserve">możliwości wykorzystania leku gotowego, dla których została wydana decyzja administracyjna o objęciu refundacją, w przypadku, gdy przepisana dawka leku recepturowego jest mniejsza od najmniejszej dawki leku gotowego, bez zastrzeżenia formy stałej stosowanej doustnie, </w:t>
            </w:r>
          </w:p>
          <w:p w14:paraId="6631F84D" w14:textId="3A52858D" w:rsidR="00BE465F" w:rsidRPr="00BE465F" w:rsidRDefault="00BE465F" w:rsidP="00BE465F">
            <w:pPr>
              <w:numPr>
                <w:ilvl w:val="1"/>
                <w:numId w:val="39"/>
              </w:numPr>
              <w:spacing w:line="240" w:lineRule="auto"/>
              <w:jc w:val="both"/>
              <w:rPr>
                <w:rFonts w:ascii="Times New Roman" w:hAnsi="Times New Roman"/>
                <w:bCs/>
                <w:spacing w:val="-2"/>
              </w:rPr>
            </w:pPr>
            <w:r w:rsidRPr="00BE465F">
              <w:rPr>
                <w:rFonts w:ascii="Times New Roman" w:hAnsi="Times New Roman"/>
                <w:bCs/>
                <w:spacing w:val="-2"/>
              </w:rPr>
              <w:t xml:space="preserve">wprowadzenia urzędowej marży hurtowej </w:t>
            </w:r>
            <w:r w:rsidR="00D5007C" w:rsidRPr="00D5007C">
              <w:rPr>
                <w:rFonts w:ascii="Times New Roman" w:hAnsi="Times New Roman"/>
                <w:bCs/>
                <w:spacing w:val="-2"/>
              </w:rPr>
              <w:t xml:space="preserve">w wysokości 6% ceny </w:t>
            </w:r>
            <w:r w:rsidRPr="00BE465F">
              <w:rPr>
                <w:rFonts w:ascii="Times New Roman" w:hAnsi="Times New Roman"/>
                <w:bCs/>
                <w:spacing w:val="-2"/>
              </w:rPr>
              <w:t>dla surowców, utensyliów i leków gotowych, które mogą być traktowane jako surowiec farmaceutyczny przy sporządzaniu leku recepturowego,</w:t>
            </w:r>
          </w:p>
          <w:p w14:paraId="260F9F2E" w14:textId="77777777" w:rsidR="00BE465F" w:rsidRPr="00BE465F" w:rsidRDefault="00BE465F" w:rsidP="00BE465F">
            <w:pPr>
              <w:numPr>
                <w:ilvl w:val="1"/>
                <w:numId w:val="39"/>
              </w:numPr>
              <w:spacing w:line="240" w:lineRule="auto"/>
              <w:jc w:val="both"/>
              <w:rPr>
                <w:rFonts w:ascii="Times New Roman" w:hAnsi="Times New Roman"/>
                <w:bCs/>
                <w:spacing w:val="-2"/>
              </w:rPr>
            </w:pPr>
            <w:r w:rsidRPr="00BE465F">
              <w:rPr>
                <w:rFonts w:ascii="Times New Roman" w:hAnsi="Times New Roman"/>
                <w:bCs/>
                <w:spacing w:val="-2"/>
              </w:rPr>
              <w:t xml:space="preserve">wprowadzenia upoważnienia ustawowego dla ministra właściwego do spraw zdrowia do wydania rozporządzenia określającego wykaz ww. utensyliów wraz z limitami finansowania dla tych utensyliów, </w:t>
            </w:r>
          </w:p>
          <w:p w14:paraId="405A6F31" w14:textId="77777777" w:rsidR="00BE465F" w:rsidRPr="00BE465F" w:rsidRDefault="00BE465F" w:rsidP="00BE465F">
            <w:pPr>
              <w:numPr>
                <w:ilvl w:val="1"/>
                <w:numId w:val="39"/>
              </w:numPr>
              <w:spacing w:line="240" w:lineRule="auto"/>
              <w:jc w:val="both"/>
              <w:rPr>
                <w:rFonts w:ascii="Times New Roman" w:hAnsi="Times New Roman"/>
                <w:bCs/>
                <w:spacing w:val="-2"/>
              </w:rPr>
            </w:pPr>
            <w:r w:rsidRPr="00BE465F">
              <w:rPr>
                <w:rFonts w:ascii="Times New Roman" w:hAnsi="Times New Roman"/>
                <w:bCs/>
                <w:spacing w:val="-2"/>
              </w:rPr>
              <w:t>wprowadzenia upoważnienia ustawowego dla ministra właściwego do spraw zdrowia do wydania rozporządzenia określającego receptariusz zawierający składy leków recepturowych finansowanych ze środków publicznych w danych dziedzinach medycyny,</w:t>
            </w:r>
          </w:p>
          <w:p w14:paraId="68688F94" w14:textId="3ACC0BF2" w:rsidR="00BE465F" w:rsidRPr="00BE465F" w:rsidRDefault="00BE465F" w:rsidP="00BE465F">
            <w:pPr>
              <w:numPr>
                <w:ilvl w:val="1"/>
                <w:numId w:val="39"/>
              </w:numPr>
              <w:spacing w:line="240" w:lineRule="auto"/>
              <w:jc w:val="both"/>
              <w:rPr>
                <w:rFonts w:ascii="Times New Roman" w:hAnsi="Times New Roman"/>
                <w:bCs/>
                <w:spacing w:val="-2"/>
              </w:rPr>
            </w:pPr>
            <w:r w:rsidRPr="00BE465F">
              <w:rPr>
                <w:rFonts w:ascii="Times New Roman" w:hAnsi="Times New Roman"/>
                <w:bCs/>
                <w:spacing w:val="-2"/>
              </w:rPr>
              <w:t>wprowadzeni</w:t>
            </w:r>
            <w:r w:rsidR="00F91565">
              <w:rPr>
                <w:rFonts w:ascii="Times New Roman" w:hAnsi="Times New Roman"/>
                <w:bCs/>
                <w:spacing w:val="-2"/>
              </w:rPr>
              <w:t>a</w:t>
            </w:r>
            <w:r w:rsidRPr="00BE465F">
              <w:rPr>
                <w:rFonts w:ascii="Times New Roman" w:hAnsi="Times New Roman"/>
                <w:bCs/>
                <w:spacing w:val="-2"/>
              </w:rPr>
              <w:t xml:space="preserve"> upoważnienia ustawowego dla ministra właściwego do spraw zdrowia do wydania rozporządzenia określającego limity finansowania leków gotowych, które mogą być traktowane jako surowce farmaceutyczne,</w:t>
            </w:r>
            <w:r>
              <w:rPr>
                <w:rFonts w:ascii="Times New Roman" w:hAnsi="Times New Roman"/>
                <w:bCs/>
                <w:spacing w:val="-2"/>
              </w:rPr>
              <w:t xml:space="preserve"> </w:t>
            </w:r>
            <w:r w:rsidRPr="00BE465F">
              <w:rPr>
                <w:rFonts w:ascii="Times New Roman" w:hAnsi="Times New Roman"/>
                <w:bCs/>
                <w:spacing w:val="-2"/>
              </w:rPr>
              <w:t xml:space="preserve">zmiany przepisów dotyczących „marży aptecznej” dla leku recepturowego refundowanego, aby ustalić ją na poziomie 25% od całkowitego kosztu sporządzenia leku recepturowego, ale (tu nowe rozwiązanie): nie wyższym niż taksa </w:t>
            </w:r>
            <w:proofErr w:type="spellStart"/>
            <w:r w:rsidRPr="00BE465F">
              <w:rPr>
                <w:rFonts w:ascii="Times New Roman" w:hAnsi="Times New Roman"/>
                <w:bCs/>
                <w:spacing w:val="-2"/>
              </w:rPr>
              <w:t>laborum</w:t>
            </w:r>
            <w:proofErr w:type="spellEnd"/>
            <w:r w:rsidRPr="00BE465F">
              <w:rPr>
                <w:rFonts w:ascii="Times New Roman" w:hAnsi="Times New Roman"/>
                <w:bCs/>
                <w:spacing w:val="-2"/>
              </w:rPr>
              <w:t xml:space="preserve"> leku wykonywanego w warunkach innych niż aseptyczne,</w:t>
            </w:r>
          </w:p>
          <w:p w14:paraId="0E59065F" w14:textId="77777777" w:rsidR="00BE465F" w:rsidRPr="00BE465F" w:rsidRDefault="00BE465F" w:rsidP="00BE465F">
            <w:pPr>
              <w:numPr>
                <w:ilvl w:val="1"/>
                <w:numId w:val="39"/>
              </w:numPr>
              <w:spacing w:line="240" w:lineRule="auto"/>
              <w:jc w:val="both"/>
              <w:rPr>
                <w:rFonts w:ascii="Times New Roman" w:hAnsi="Times New Roman"/>
                <w:bCs/>
                <w:spacing w:val="-2"/>
              </w:rPr>
            </w:pPr>
            <w:r w:rsidRPr="00BE465F">
              <w:rPr>
                <w:rFonts w:ascii="Times New Roman" w:hAnsi="Times New Roman"/>
                <w:bCs/>
                <w:spacing w:val="-2"/>
              </w:rPr>
              <w:t>wprowadzenie standardu ordynacji leków recepturowych;</w:t>
            </w:r>
          </w:p>
          <w:p w14:paraId="20EC8472" w14:textId="7B181CB9" w:rsidR="00447A2D" w:rsidRPr="0095120B" w:rsidRDefault="00B75E57"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C010EA" w:rsidRPr="0095120B">
              <w:rPr>
                <w:rFonts w:ascii="Times New Roman" w:hAnsi="Times New Roman"/>
                <w:bCs/>
                <w:spacing w:val="-2"/>
              </w:rPr>
              <w:t xml:space="preserve"> związku z problemem wskazanym w pkt 1</w:t>
            </w:r>
            <w:r w:rsidR="00C2485C" w:rsidRPr="0095120B">
              <w:rPr>
                <w:rFonts w:ascii="Times New Roman" w:hAnsi="Times New Roman"/>
                <w:bCs/>
                <w:spacing w:val="-2"/>
              </w:rPr>
              <w:t>1</w:t>
            </w:r>
            <w:r w:rsidR="00C010EA" w:rsidRPr="0095120B">
              <w:rPr>
                <w:rFonts w:ascii="Times New Roman" w:hAnsi="Times New Roman"/>
                <w:bCs/>
                <w:spacing w:val="-2"/>
              </w:rPr>
              <w:t xml:space="preserve"> sekcji</w:t>
            </w:r>
            <w:r w:rsidR="004B4BC7" w:rsidRPr="0095120B">
              <w:rPr>
                <w:rFonts w:ascii="Times New Roman" w:hAnsi="Times New Roman"/>
                <w:bCs/>
                <w:spacing w:val="-2"/>
              </w:rPr>
              <w:t xml:space="preserve"> 1</w:t>
            </w:r>
            <w:r w:rsidR="00C010EA" w:rsidRPr="0095120B">
              <w:rPr>
                <w:rFonts w:ascii="Times New Roman" w:hAnsi="Times New Roman"/>
                <w:bCs/>
                <w:spacing w:val="-2"/>
              </w:rPr>
              <w:t xml:space="preserve"> OSR proponuje się</w:t>
            </w:r>
            <w:r w:rsidR="00C2485C" w:rsidRPr="0095120B">
              <w:rPr>
                <w:rFonts w:ascii="Times New Roman" w:hAnsi="Times New Roman"/>
                <w:bCs/>
                <w:spacing w:val="-2"/>
              </w:rPr>
              <w:t xml:space="preserve"> </w:t>
            </w:r>
            <w:r w:rsidR="00CD3B23" w:rsidRPr="0095120B">
              <w:rPr>
                <w:rFonts w:ascii="Times New Roman" w:hAnsi="Times New Roman"/>
                <w:bCs/>
                <w:spacing w:val="-2"/>
              </w:rPr>
              <w:t xml:space="preserve">uregulowanie </w:t>
            </w:r>
            <w:r w:rsidR="000E2F1D">
              <w:rPr>
                <w:rFonts w:ascii="Times New Roman" w:hAnsi="Times New Roman"/>
                <w:bCs/>
                <w:spacing w:val="-2"/>
              </w:rPr>
              <w:t xml:space="preserve">w </w:t>
            </w:r>
            <w:r w:rsidR="000E2F1D" w:rsidRPr="0095120B">
              <w:rPr>
                <w:rFonts w:ascii="Times New Roman" w:hAnsi="Times New Roman"/>
                <w:bCs/>
                <w:spacing w:val="-2"/>
              </w:rPr>
              <w:t>ustaw</w:t>
            </w:r>
            <w:r w:rsidR="000E2F1D">
              <w:rPr>
                <w:rFonts w:ascii="Times New Roman" w:hAnsi="Times New Roman"/>
                <w:bCs/>
                <w:spacing w:val="-2"/>
              </w:rPr>
              <w:t>ie</w:t>
            </w:r>
            <w:r w:rsidR="000E2F1D" w:rsidRPr="0095120B">
              <w:rPr>
                <w:rFonts w:ascii="Times New Roman" w:hAnsi="Times New Roman"/>
                <w:bCs/>
                <w:spacing w:val="-2"/>
              </w:rPr>
              <w:t xml:space="preserve"> refundacyjnej </w:t>
            </w:r>
            <w:r w:rsidR="00C2485C" w:rsidRPr="0095120B">
              <w:rPr>
                <w:rFonts w:ascii="Times New Roman" w:hAnsi="Times New Roman"/>
                <w:bCs/>
                <w:spacing w:val="-2"/>
              </w:rPr>
              <w:t xml:space="preserve">zakazu refundowania leków </w:t>
            </w:r>
            <w:r w:rsidR="00CD3B23" w:rsidRPr="0095120B">
              <w:rPr>
                <w:rFonts w:ascii="Times New Roman" w:hAnsi="Times New Roman"/>
                <w:bCs/>
                <w:spacing w:val="-2"/>
              </w:rPr>
              <w:t>wydawanych bez przepisu lekarza (OTC)</w:t>
            </w:r>
            <w:r w:rsidR="00C2485C" w:rsidRPr="0095120B">
              <w:rPr>
                <w:rFonts w:ascii="Times New Roman" w:hAnsi="Times New Roman"/>
                <w:bCs/>
                <w:spacing w:val="-2"/>
              </w:rPr>
              <w:t xml:space="preserve">, </w:t>
            </w:r>
            <w:r w:rsidR="000020CD" w:rsidRPr="000020CD">
              <w:rPr>
                <w:rFonts w:ascii="Times New Roman" w:hAnsi="Times New Roman"/>
                <w:bCs/>
                <w:spacing w:val="-2"/>
              </w:rPr>
              <w:t xml:space="preserve">w tym nadanie </w:t>
            </w:r>
            <w:r w:rsidR="00456B79">
              <w:rPr>
                <w:rFonts w:ascii="Times New Roman" w:hAnsi="Times New Roman"/>
                <w:bCs/>
                <w:spacing w:val="-2"/>
              </w:rPr>
              <w:t>nowego</w:t>
            </w:r>
            <w:r w:rsidR="000020CD" w:rsidRPr="000020CD">
              <w:rPr>
                <w:rFonts w:ascii="Times New Roman" w:hAnsi="Times New Roman"/>
                <w:bCs/>
                <w:spacing w:val="-2"/>
              </w:rPr>
              <w:t xml:space="preserve"> brzmienia art. 30a ustawy refundacyjnej</w:t>
            </w:r>
            <w:r w:rsidR="000020CD">
              <w:rPr>
                <w:rFonts w:ascii="Times New Roman" w:hAnsi="Times New Roman"/>
                <w:bCs/>
                <w:spacing w:val="-2"/>
              </w:rPr>
              <w:t>, a także</w:t>
            </w:r>
            <w:r w:rsidR="000020CD" w:rsidRPr="000020CD" w:rsidDel="000020CD">
              <w:rPr>
                <w:rFonts w:ascii="Times New Roman" w:hAnsi="Times New Roman"/>
                <w:bCs/>
                <w:spacing w:val="-2"/>
              </w:rPr>
              <w:t xml:space="preserve"> </w:t>
            </w:r>
            <w:r w:rsidR="00C2485C" w:rsidRPr="0095120B">
              <w:rPr>
                <w:rFonts w:ascii="Times New Roman" w:hAnsi="Times New Roman"/>
                <w:bCs/>
                <w:spacing w:val="-2"/>
              </w:rPr>
              <w:t xml:space="preserve">umożliwienie </w:t>
            </w:r>
            <w:r w:rsidRPr="0095120B">
              <w:rPr>
                <w:rFonts w:ascii="Times New Roman" w:hAnsi="Times New Roman"/>
                <w:bCs/>
                <w:spacing w:val="-2"/>
              </w:rPr>
              <w:t>Ministrowi</w:t>
            </w:r>
            <w:r w:rsidR="00CD3B23" w:rsidRPr="0095120B">
              <w:rPr>
                <w:rFonts w:ascii="Times New Roman" w:hAnsi="Times New Roman"/>
                <w:bCs/>
                <w:spacing w:val="-2"/>
              </w:rPr>
              <w:t xml:space="preserve"> Zdrowia</w:t>
            </w:r>
            <w:r w:rsidR="00C2485C" w:rsidRPr="0095120B">
              <w:rPr>
                <w:rFonts w:ascii="Times New Roman" w:hAnsi="Times New Roman"/>
                <w:bCs/>
                <w:spacing w:val="-2"/>
              </w:rPr>
              <w:t xml:space="preserve"> uchylenie decyzji o objęciu refundacją i ustaleniu ceny zbytu netto w przypadku zmiany kategorii dostępności leku z </w:t>
            </w:r>
            <w:r w:rsidR="000E2F1D">
              <w:rPr>
                <w:rFonts w:ascii="Times New Roman" w:hAnsi="Times New Roman"/>
                <w:bCs/>
                <w:spacing w:val="-2"/>
              </w:rPr>
              <w:t>wydawanego na receptę (</w:t>
            </w:r>
            <w:proofErr w:type="spellStart"/>
            <w:r w:rsidR="00C2485C" w:rsidRPr="0095120B">
              <w:rPr>
                <w:rFonts w:ascii="Times New Roman" w:hAnsi="Times New Roman"/>
                <w:bCs/>
                <w:spacing w:val="-2"/>
              </w:rPr>
              <w:t>Rp</w:t>
            </w:r>
            <w:proofErr w:type="spellEnd"/>
            <w:r w:rsidR="000E2F1D">
              <w:rPr>
                <w:rFonts w:ascii="Times New Roman" w:hAnsi="Times New Roman"/>
                <w:bCs/>
                <w:spacing w:val="-2"/>
              </w:rPr>
              <w:t>)</w:t>
            </w:r>
            <w:r w:rsidR="00C2485C" w:rsidRPr="0095120B">
              <w:rPr>
                <w:rFonts w:ascii="Times New Roman" w:hAnsi="Times New Roman"/>
                <w:bCs/>
                <w:spacing w:val="-2"/>
              </w:rPr>
              <w:t xml:space="preserve"> na</w:t>
            </w:r>
            <w:r w:rsidR="0012032E" w:rsidRPr="0095120B">
              <w:rPr>
                <w:rFonts w:ascii="Times New Roman" w:hAnsi="Times New Roman"/>
                <w:bCs/>
                <w:spacing w:val="-2"/>
              </w:rPr>
              <w:t xml:space="preserve"> </w:t>
            </w:r>
            <w:r w:rsidRPr="0095120B">
              <w:rPr>
                <w:rFonts w:ascii="Times New Roman" w:hAnsi="Times New Roman"/>
                <w:bCs/>
                <w:spacing w:val="-2"/>
              </w:rPr>
              <w:t>wydawan</w:t>
            </w:r>
            <w:r w:rsidR="0012032E">
              <w:rPr>
                <w:rFonts w:ascii="Times New Roman" w:hAnsi="Times New Roman"/>
                <w:bCs/>
                <w:spacing w:val="-2"/>
              </w:rPr>
              <w:t>y</w:t>
            </w:r>
            <w:r w:rsidRPr="0095120B">
              <w:rPr>
                <w:rFonts w:ascii="Times New Roman" w:hAnsi="Times New Roman"/>
                <w:bCs/>
                <w:spacing w:val="-2"/>
              </w:rPr>
              <w:t xml:space="preserve"> bez przepisu lekarza (OTC);</w:t>
            </w:r>
          </w:p>
          <w:p w14:paraId="719477A5" w14:textId="5B597A7E" w:rsidR="00C2485C" w:rsidRPr="0095120B" w:rsidRDefault="00B75E57"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C2485C" w:rsidRPr="0095120B">
              <w:rPr>
                <w:rFonts w:ascii="Times New Roman" w:hAnsi="Times New Roman"/>
                <w:bCs/>
                <w:spacing w:val="-2"/>
              </w:rPr>
              <w:t xml:space="preserve"> związku z problemem wskazanym w pkt 12</w:t>
            </w:r>
            <w:r w:rsidR="007E2484">
              <w:rPr>
                <w:rFonts w:ascii="Times New Roman" w:hAnsi="Times New Roman"/>
                <w:bCs/>
                <w:spacing w:val="-2"/>
              </w:rPr>
              <w:t xml:space="preserve"> i 56</w:t>
            </w:r>
            <w:r w:rsidR="00C2485C" w:rsidRPr="0095120B">
              <w:rPr>
                <w:rFonts w:ascii="Times New Roman" w:hAnsi="Times New Roman"/>
                <w:bCs/>
                <w:spacing w:val="-2"/>
              </w:rPr>
              <w:t xml:space="preserve"> w sekcji 1 OSR proponuje się wprowadzenie dodatkowej możliwości wezwania </w:t>
            </w:r>
            <w:r w:rsidR="00346CCA">
              <w:rPr>
                <w:rFonts w:ascii="Times New Roman" w:hAnsi="Times New Roman"/>
                <w:bCs/>
                <w:spacing w:val="-2"/>
              </w:rPr>
              <w:t xml:space="preserve">wnioskodawcy </w:t>
            </w:r>
            <w:r w:rsidR="00C2485C" w:rsidRPr="0095120B">
              <w:rPr>
                <w:rFonts w:ascii="Times New Roman" w:hAnsi="Times New Roman"/>
                <w:bCs/>
                <w:spacing w:val="-2"/>
              </w:rPr>
              <w:t>przez</w:t>
            </w:r>
            <w:r w:rsidRPr="0095120B">
              <w:rPr>
                <w:rFonts w:ascii="Times New Roman" w:hAnsi="Times New Roman"/>
                <w:bCs/>
                <w:spacing w:val="-2"/>
              </w:rPr>
              <w:t xml:space="preserve"> </w:t>
            </w:r>
            <w:r w:rsidR="00B1238E" w:rsidRPr="0095120B">
              <w:rPr>
                <w:rFonts w:ascii="Times New Roman" w:hAnsi="Times New Roman"/>
                <w:bCs/>
                <w:spacing w:val="-2"/>
              </w:rPr>
              <w:t>M</w:t>
            </w:r>
            <w:r w:rsidRPr="0095120B">
              <w:rPr>
                <w:rFonts w:ascii="Times New Roman" w:hAnsi="Times New Roman"/>
                <w:bCs/>
                <w:spacing w:val="-2"/>
              </w:rPr>
              <w:t>inistra Zdrowia</w:t>
            </w:r>
            <w:r w:rsidR="00C2485C" w:rsidRPr="0095120B">
              <w:rPr>
                <w:rFonts w:ascii="Times New Roman" w:hAnsi="Times New Roman"/>
                <w:bCs/>
                <w:spacing w:val="-2"/>
              </w:rPr>
              <w:t xml:space="preserve"> do złożenia wniosku </w:t>
            </w:r>
            <w:r w:rsidR="00856098" w:rsidRPr="0095120B">
              <w:rPr>
                <w:rFonts w:ascii="Times New Roman" w:hAnsi="Times New Roman"/>
                <w:bCs/>
                <w:spacing w:val="-2"/>
              </w:rPr>
              <w:t xml:space="preserve">refundacyjnego </w:t>
            </w:r>
            <w:r w:rsidR="005F2D79" w:rsidRPr="0095120B">
              <w:rPr>
                <w:rFonts w:ascii="Times New Roman" w:hAnsi="Times New Roman"/>
                <w:bCs/>
                <w:spacing w:val="-2"/>
              </w:rPr>
              <w:t xml:space="preserve">na </w:t>
            </w:r>
            <w:r w:rsidR="00C2485C" w:rsidRPr="0095120B">
              <w:rPr>
                <w:rFonts w:ascii="Times New Roman" w:hAnsi="Times New Roman"/>
                <w:bCs/>
                <w:spacing w:val="-2"/>
              </w:rPr>
              <w:t xml:space="preserve">wyczekiwany przez świadczeniobiorców </w:t>
            </w:r>
            <w:r w:rsidR="005A0A7F" w:rsidRPr="0095120B">
              <w:rPr>
                <w:rFonts w:ascii="Times New Roman" w:hAnsi="Times New Roman"/>
                <w:bCs/>
                <w:spacing w:val="-2"/>
              </w:rPr>
              <w:t>lek</w:t>
            </w:r>
            <w:r w:rsidR="00C2485C" w:rsidRPr="0095120B">
              <w:rPr>
                <w:rFonts w:ascii="Times New Roman" w:hAnsi="Times New Roman"/>
                <w:bCs/>
                <w:spacing w:val="-2"/>
              </w:rPr>
              <w:t xml:space="preserve">, </w:t>
            </w:r>
            <w:r w:rsidR="00747AD9">
              <w:rPr>
                <w:rFonts w:ascii="Times New Roman" w:hAnsi="Times New Roman"/>
                <w:bCs/>
                <w:spacing w:val="-2"/>
              </w:rPr>
              <w:t xml:space="preserve"> w związku z czym </w:t>
            </w:r>
            <w:r w:rsidR="00C2485C" w:rsidRPr="0095120B">
              <w:rPr>
                <w:rFonts w:ascii="Times New Roman" w:hAnsi="Times New Roman"/>
                <w:bCs/>
                <w:spacing w:val="-2"/>
              </w:rPr>
              <w:t xml:space="preserve">taki wnioskodawca uzyskałby </w:t>
            </w:r>
            <w:r w:rsidR="00747AD9">
              <w:rPr>
                <w:rFonts w:ascii="Times New Roman" w:hAnsi="Times New Roman"/>
                <w:bCs/>
                <w:spacing w:val="-2"/>
              </w:rPr>
              <w:t xml:space="preserve">także </w:t>
            </w:r>
            <w:r w:rsidR="00C2485C" w:rsidRPr="0095120B">
              <w:rPr>
                <w:rFonts w:ascii="Times New Roman" w:hAnsi="Times New Roman"/>
                <w:bCs/>
                <w:spacing w:val="-2"/>
              </w:rPr>
              <w:t>preferencje przy procedowaniu swojego wniosku</w:t>
            </w:r>
            <w:r w:rsidR="007C3755">
              <w:rPr>
                <w:rFonts w:ascii="Times New Roman" w:hAnsi="Times New Roman"/>
                <w:bCs/>
                <w:spacing w:val="-2"/>
              </w:rPr>
              <w:t xml:space="preserve"> w postaci </w:t>
            </w:r>
            <w:r w:rsidR="00C2485C" w:rsidRPr="0095120B">
              <w:rPr>
                <w:rFonts w:ascii="Times New Roman" w:hAnsi="Times New Roman"/>
                <w:bCs/>
                <w:spacing w:val="-2"/>
              </w:rPr>
              <w:t>krótsz</w:t>
            </w:r>
            <w:r w:rsidR="007C3755">
              <w:rPr>
                <w:rFonts w:ascii="Times New Roman" w:hAnsi="Times New Roman"/>
                <w:bCs/>
                <w:spacing w:val="-2"/>
              </w:rPr>
              <w:t>ego</w:t>
            </w:r>
            <w:r w:rsidR="00C2485C" w:rsidRPr="0095120B">
              <w:rPr>
                <w:rFonts w:ascii="Times New Roman" w:hAnsi="Times New Roman"/>
                <w:bCs/>
                <w:spacing w:val="-2"/>
              </w:rPr>
              <w:t xml:space="preserve"> czas</w:t>
            </w:r>
            <w:r w:rsidR="007C3755">
              <w:rPr>
                <w:rFonts w:ascii="Times New Roman" w:hAnsi="Times New Roman"/>
                <w:bCs/>
                <w:spacing w:val="-2"/>
              </w:rPr>
              <w:t>u</w:t>
            </w:r>
            <w:r w:rsidR="00C2485C" w:rsidRPr="0095120B">
              <w:rPr>
                <w:rFonts w:ascii="Times New Roman" w:hAnsi="Times New Roman"/>
                <w:bCs/>
                <w:spacing w:val="-2"/>
              </w:rPr>
              <w:t xml:space="preserve"> procedowania takiego wniosku</w:t>
            </w:r>
            <w:r w:rsidR="007C3755" w:rsidRPr="007C3755">
              <w:rPr>
                <w:rFonts w:ascii="Times New Roman" w:hAnsi="Times New Roman"/>
                <w:bCs/>
                <w:spacing w:val="-2"/>
              </w:rPr>
              <w:t>, niższej opłaty za analizę weryfikacyjną, a w przypadku leków generycznych wnioskodawca nie musiałby składać analiz, o których mowa w art. 2</w:t>
            </w:r>
            <w:r w:rsidR="00150FC7">
              <w:rPr>
                <w:rFonts w:ascii="Times New Roman" w:hAnsi="Times New Roman"/>
                <w:bCs/>
                <w:spacing w:val="-2"/>
              </w:rPr>
              <w:t>5</w:t>
            </w:r>
            <w:r w:rsidR="007C3755" w:rsidRPr="007C3755">
              <w:rPr>
                <w:rFonts w:ascii="Times New Roman" w:hAnsi="Times New Roman"/>
                <w:bCs/>
                <w:spacing w:val="-2"/>
              </w:rPr>
              <w:t xml:space="preserve"> pkt 14 ustawy refundacyjnej</w:t>
            </w:r>
            <w:r w:rsidR="007E2484">
              <w:rPr>
                <w:rFonts w:ascii="Times New Roman" w:hAnsi="Times New Roman"/>
                <w:bCs/>
                <w:spacing w:val="-2"/>
              </w:rPr>
              <w:t xml:space="preserve"> albo szybsza ścieżka dla leków w terapii skojarzonej,</w:t>
            </w:r>
            <w:r w:rsidR="00AB3CE8">
              <w:rPr>
                <w:rFonts w:ascii="Times New Roman" w:hAnsi="Times New Roman"/>
                <w:bCs/>
                <w:spacing w:val="-2"/>
              </w:rPr>
              <w:t xml:space="preserve"> zł</w:t>
            </w:r>
            <w:r w:rsidR="00AB3CE8" w:rsidRPr="00AB3CE8">
              <w:rPr>
                <w:rFonts w:ascii="Times New Roman" w:hAnsi="Times New Roman"/>
                <w:bCs/>
                <w:spacing w:val="-2"/>
              </w:rPr>
              <w:t>ożenie wniosku refundacyjnego w odpowiedzi na wezwanie Ministra Zdrowia wiązać się będzie ze wskazanymi benefitami, jednocześnie jest dobrowolne i brak wniosku nie będzie podlegał żadnym sankcjom</w:t>
            </w:r>
            <w:r w:rsidRPr="0095120B">
              <w:rPr>
                <w:rFonts w:ascii="Times New Roman" w:hAnsi="Times New Roman"/>
                <w:bCs/>
                <w:spacing w:val="-2"/>
              </w:rPr>
              <w:t>;</w:t>
            </w:r>
          </w:p>
          <w:p w14:paraId="104B8C8E" w14:textId="3FBD28C2" w:rsidR="00C2485C" w:rsidRPr="0095120B" w:rsidRDefault="00064CB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4B4BC7" w:rsidRPr="0095120B">
              <w:rPr>
                <w:rFonts w:ascii="Times New Roman" w:hAnsi="Times New Roman"/>
                <w:bCs/>
                <w:spacing w:val="-2"/>
              </w:rPr>
              <w:t xml:space="preserve"> </w:t>
            </w:r>
            <w:r w:rsidR="00C2485C" w:rsidRPr="0095120B">
              <w:rPr>
                <w:rFonts w:ascii="Times New Roman" w:hAnsi="Times New Roman"/>
                <w:bCs/>
                <w:spacing w:val="-2"/>
              </w:rPr>
              <w:t xml:space="preserve">związku z problemem wskazanym w pkt </w:t>
            </w:r>
            <w:r w:rsidR="0039668D" w:rsidRPr="0095120B">
              <w:rPr>
                <w:rFonts w:ascii="Times New Roman" w:hAnsi="Times New Roman"/>
                <w:bCs/>
                <w:spacing w:val="-2"/>
              </w:rPr>
              <w:t>13</w:t>
            </w:r>
            <w:r w:rsidR="00C2485C" w:rsidRPr="0095120B">
              <w:rPr>
                <w:rFonts w:ascii="Times New Roman" w:hAnsi="Times New Roman"/>
                <w:bCs/>
                <w:spacing w:val="-2"/>
              </w:rPr>
              <w:t xml:space="preserve"> w sekcji 1 OSR proponuje się</w:t>
            </w:r>
            <w:r w:rsidR="00E61C7A" w:rsidRPr="0095120B">
              <w:rPr>
                <w:rFonts w:ascii="Times New Roman" w:hAnsi="Times New Roman"/>
                <w:bCs/>
                <w:spacing w:val="-2"/>
              </w:rPr>
              <w:t xml:space="preserve"> wpisanie do art. 30 ustawy </w:t>
            </w:r>
            <w:r w:rsidR="00B1238E" w:rsidRPr="0095120B">
              <w:rPr>
                <w:rFonts w:ascii="Times New Roman" w:hAnsi="Times New Roman"/>
                <w:bCs/>
                <w:spacing w:val="-2"/>
              </w:rPr>
              <w:t>refundacyjnej</w:t>
            </w:r>
            <w:r w:rsidR="00E61C7A" w:rsidRPr="0095120B">
              <w:rPr>
                <w:rFonts w:ascii="Times New Roman" w:hAnsi="Times New Roman"/>
                <w:bCs/>
                <w:spacing w:val="-2"/>
              </w:rPr>
              <w:t xml:space="preserve"> w</w:t>
            </w:r>
            <w:r w:rsidR="00785AC3">
              <w:rPr>
                <w:rFonts w:ascii="Times New Roman" w:hAnsi="Times New Roman"/>
                <w:bCs/>
                <w:spacing w:val="-2"/>
              </w:rPr>
              <w:t>y</w:t>
            </w:r>
            <w:r w:rsidR="00E61C7A" w:rsidRPr="0095120B">
              <w:rPr>
                <w:rFonts w:ascii="Times New Roman" w:hAnsi="Times New Roman"/>
                <w:bCs/>
                <w:spacing w:val="-2"/>
              </w:rPr>
              <w:t>łączeń dla importerów równoległych</w:t>
            </w:r>
            <w:r w:rsidR="0012032E">
              <w:rPr>
                <w:rFonts w:ascii="Times New Roman" w:hAnsi="Times New Roman"/>
                <w:bCs/>
                <w:spacing w:val="-2"/>
              </w:rPr>
              <w:t>,</w:t>
            </w:r>
            <w:r w:rsidR="00E61C7A" w:rsidRPr="0095120B">
              <w:rPr>
                <w:rFonts w:ascii="Times New Roman" w:hAnsi="Times New Roman"/>
                <w:bCs/>
                <w:spacing w:val="-2"/>
              </w:rPr>
              <w:t xml:space="preserve"> polegających na braku </w:t>
            </w:r>
            <w:r w:rsidR="007C3755">
              <w:rPr>
                <w:rFonts w:ascii="Times New Roman" w:hAnsi="Times New Roman"/>
                <w:bCs/>
                <w:spacing w:val="-2"/>
              </w:rPr>
              <w:t xml:space="preserve">konieczności </w:t>
            </w:r>
            <w:r w:rsidR="00E61C7A" w:rsidRPr="0095120B">
              <w:rPr>
                <w:rFonts w:ascii="Times New Roman" w:hAnsi="Times New Roman"/>
                <w:bCs/>
                <w:spacing w:val="-2"/>
              </w:rPr>
              <w:t xml:space="preserve">negocjacji cenowych z Komisją Ekonomiczną oraz </w:t>
            </w:r>
            <w:r w:rsidR="004C4D4C">
              <w:rPr>
                <w:rFonts w:ascii="Times New Roman" w:hAnsi="Times New Roman"/>
                <w:bCs/>
                <w:spacing w:val="-2"/>
              </w:rPr>
              <w:t>mniejszego</w:t>
            </w:r>
            <w:r w:rsidR="00E61C7A" w:rsidRPr="0095120B">
              <w:rPr>
                <w:rFonts w:ascii="Times New Roman" w:hAnsi="Times New Roman"/>
                <w:bCs/>
                <w:spacing w:val="-2"/>
              </w:rPr>
              <w:t xml:space="preserve"> </w:t>
            </w:r>
            <w:r w:rsidR="00856098" w:rsidRPr="0095120B">
              <w:rPr>
                <w:rFonts w:ascii="Times New Roman" w:hAnsi="Times New Roman"/>
                <w:bCs/>
                <w:spacing w:val="-2"/>
              </w:rPr>
              <w:t>zakresu</w:t>
            </w:r>
            <w:r w:rsidR="00E61C7A" w:rsidRPr="0095120B">
              <w:rPr>
                <w:rFonts w:ascii="Times New Roman" w:hAnsi="Times New Roman"/>
                <w:bCs/>
                <w:spacing w:val="-2"/>
              </w:rPr>
              <w:t xml:space="preserve"> </w:t>
            </w:r>
            <w:r w:rsidR="00856098" w:rsidRPr="0095120B">
              <w:rPr>
                <w:rFonts w:ascii="Times New Roman" w:hAnsi="Times New Roman"/>
                <w:bCs/>
                <w:spacing w:val="-2"/>
              </w:rPr>
              <w:t xml:space="preserve">informacji </w:t>
            </w:r>
            <w:r w:rsidR="00E61C7A" w:rsidRPr="0095120B">
              <w:rPr>
                <w:rFonts w:ascii="Times New Roman" w:hAnsi="Times New Roman"/>
                <w:bCs/>
                <w:spacing w:val="-2"/>
              </w:rPr>
              <w:t xml:space="preserve">przekazywanych we wniosku </w:t>
            </w:r>
            <w:r w:rsidR="00856098" w:rsidRPr="0095120B">
              <w:rPr>
                <w:rFonts w:ascii="Times New Roman" w:hAnsi="Times New Roman"/>
                <w:bCs/>
                <w:spacing w:val="-2"/>
              </w:rPr>
              <w:t>refundacyjnym</w:t>
            </w:r>
            <w:r w:rsidRPr="0095120B">
              <w:rPr>
                <w:rFonts w:ascii="Times New Roman" w:hAnsi="Times New Roman"/>
                <w:bCs/>
                <w:spacing w:val="-2"/>
              </w:rPr>
              <w:t>;</w:t>
            </w:r>
          </w:p>
          <w:p w14:paraId="1079CB9A" w14:textId="4D59C4B7" w:rsidR="00E61C7A" w:rsidRPr="0095120B" w:rsidRDefault="00B1238E"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14 sekcji</w:t>
            </w:r>
            <w:r w:rsidR="004B4BC7" w:rsidRPr="0095120B">
              <w:rPr>
                <w:rFonts w:ascii="Times New Roman" w:hAnsi="Times New Roman"/>
                <w:bCs/>
                <w:spacing w:val="-2"/>
              </w:rPr>
              <w:t xml:space="preserve"> 1</w:t>
            </w:r>
            <w:r w:rsidR="00E61C7A" w:rsidRPr="0095120B">
              <w:rPr>
                <w:rFonts w:ascii="Times New Roman" w:hAnsi="Times New Roman"/>
                <w:bCs/>
                <w:spacing w:val="-2"/>
              </w:rPr>
              <w:t xml:space="preserve"> OSR proponuje </w:t>
            </w:r>
            <w:r w:rsidR="00F91565">
              <w:rPr>
                <w:rFonts w:ascii="Times New Roman" w:hAnsi="Times New Roman"/>
                <w:bCs/>
                <w:spacing w:val="-2"/>
              </w:rPr>
              <w:t xml:space="preserve">się </w:t>
            </w:r>
            <w:r w:rsidR="00E61C7A" w:rsidRPr="0095120B">
              <w:rPr>
                <w:rFonts w:ascii="Times New Roman" w:hAnsi="Times New Roman"/>
                <w:bCs/>
                <w:spacing w:val="-2"/>
              </w:rPr>
              <w:t>zwolnieni</w:t>
            </w:r>
            <w:r w:rsidR="00CF00C6">
              <w:rPr>
                <w:rFonts w:ascii="Times New Roman" w:hAnsi="Times New Roman"/>
                <w:bCs/>
                <w:spacing w:val="-2"/>
              </w:rPr>
              <w:t>e</w:t>
            </w:r>
            <w:r w:rsidR="00E61C7A" w:rsidRPr="0095120B">
              <w:rPr>
                <w:rFonts w:ascii="Times New Roman" w:hAnsi="Times New Roman"/>
                <w:bCs/>
                <w:spacing w:val="-2"/>
              </w:rPr>
              <w:t xml:space="preserve"> z negocjacji cenowych dla leków w obcojęzycznych opakowaniach, dla których wcześniej wydano decyzję o objęciu refundacją i ustalenia ceny zbytu netto</w:t>
            </w:r>
            <w:r w:rsidR="0060660B">
              <w:rPr>
                <w:rFonts w:ascii="Times New Roman" w:hAnsi="Times New Roman"/>
                <w:bCs/>
                <w:spacing w:val="-2"/>
              </w:rPr>
              <w:t xml:space="preserve"> oraz zaliczeniu dostarczonych opakowań obcojęzycznych na poczet zobowiązania, dla leku w polskojęzycznym opakowaniu</w:t>
            </w:r>
            <w:r w:rsidR="00960B5D" w:rsidRPr="0095120B">
              <w:rPr>
                <w:rFonts w:ascii="Times New Roman" w:hAnsi="Times New Roman"/>
                <w:bCs/>
                <w:spacing w:val="-2"/>
              </w:rPr>
              <w:t>;</w:t>
            </w:r>
          </w:p>
          <w:p w14:paraId="208FD93E" w14:textId="7049E69F" w:rsidR="00E61C7A" w:rsidRPr="0095120B" w:rsidRDefault="00960B5D"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15 sekcji </w:t>
            </w:r>
            <w:r w:rsidR="004B4BC7" w:rsidRPr="0095120B">
              <w:rPr>
                <w:rFonts w:ascii="Times New Roman" w:hAnsi="Times New Roman"/>
                <w:bCs/>
                <w:spacing w:val="-2"/>
              </w:rPr>
              <w:t xml:space="preserve">1 </w:t>
            </w:r>
            <w:r w:rsidR="00E61C7A" w:rsidRPr="0095120B">
              <w:rPr>
                <w:rFonts w:ascii="Times New Roman" w:hAnsi="Times New Roman"/>
                <w:bCs/>
                <w:spacing w:val="-2"/>
              </w:rPr>
              <w:t xml:space="preserve">OSR proponuje się, aby </w:t>
            </w:r>
            <w:r w:rsidRPr="0095120B">
              <w:rPr>
                <w:rFonts w:ascii="Times New Roman" w:hAnsi="Times New Roman"/>
                <w:bCs/>
                <w:spacing w:val="-2"/>
              </w:rPr>
              <w:t>w</w:t>
            </w:r>
            <w:r w:rsidR="00E61C7A" w:rsidRPr="0095120B">
              <w:rPr>
                <w:rFonts w:ascii="Times New Roman" w:hAnsi="Times New Roman"/>
                <w:bCs/>
                <w:spacing w:val="-2"/>
              </w:rPr>
              <w:t>nioskodawcy byli zobligowani przedstawi</w:t>
            </w:r>
            <w:r w:rsidR="005A0A7F" w:rsidRPr="0095120B">
              <w:rPr>
                <w:rFonts w:ascii="Times New Roman" w:hAnsi="Times New Roman"/>
                <w:bCs/>
                <w:spacing w:val="-2"/>
              </w:rPr>
              <w:t>a</w:t>
            </w:r>
            <w:r w:rsidR="00E61C7A" w:rsidRPr="0095120B">
              <w:rPr>
                <w:rFonts w:ascii="Times New Roman" w:hAnsi="Times New Roman"/>
                <w:bCs/>
                <w:spacing w:val="-2"/>
              </w:rPr>
              <w:t xml:space="preserve">ć </w:t>
            </w:r>
            <w:r w:rsidR="005A0A7F" w:rsidRPr="0095120B">
              <w:rPr>
                <w:rFonts w:ascii="Times New Roman" w:hAnsi="Times New Roman"/>
                <w:bCs/>
                <w:spacing w:val="-2"/>
              </w:rPr>
              <w:t xml:space="preserve">Ministrowi Zdrowia </w:t>
            </w:r>
            <w:r w:rsidR="00E61C7A" w:rsidRPr="0095120B">
              <w:rPr>
                <w:rFonts w:ascii="Times New Roman" w:hAnsi="Times New Roman"/>
                <w:bCs/>
                <w:spacing w:val="-2"/>
              </w:rPr>
              <w:t>dokument o wprowadzeniu</w:t>
            </w:r>
            <w:r w:rsidR="005A0A7F" w:rsidRPr="0095120B">
              <w:rPr>
                <w:rFonts w:ascii="Times New Roman" w:hAnsi="Times New Roman"/>
                <w:bCs/>
                <w:spacing w:val="-2"/>
              </w:rPr>
              <w:t xml:space="preserve"> leku</w:t>
            </w:r>
            <w:r w:rsidR="00E61C7A" w:rsidRPr="0095120B">
              <w:rPr>
                <w:rFonts w:ascii="Times New Roman" w:hAnsi="Times New Roman"/>
                <w:bCs/>
                <w:spacing w:val="-2"/>
              </w:rPr>
              <w:t xml:space="preserve"> do obrotu po pozytywnym rozstrzygnięciu Ministra Zdrowia</w:t>
            </w:r>
            <w:r w:rsidR="00346CCA">
              <w:rPr>
                <w:rFonts w:ascii="Times New Roman" w:hAnsi="Times New Roman"/>
                <w:bCs/>
                <w:spacing w:val="-2"/>
              </w:rPr>
              <w:t xml:space="preserve"> </w:t>
            </w:r>
            <w:r w:rsidR="00C70D1E" w:rsidRPr="00C70D1E">
              <w:rPr>
                <w:rFonts w:ascii="Times New Roman" w:hAnsi="Times New Roman"/>
                <w:bCs/>
                <w:spacing w:val="-2"/>
              </w:rPr>
              <w:t xml:space="preserve">w Systemie Obsługi List Refundacyjnych </w:t>
            </w:r>
            <w:r w:rsidR="00346CCA">
              <w:rPr>
                <w:rFonts w:ascii="Times New Roman" w:hAnsi="Times New Roman"/>
                <w:bCs/>
                <w:spacing w:val="-2"/>
              </w:rPr>
              <w:t>w zakresie refundacji</w:t>
            </w:r>
            <w:r w:rsidR="00E61C7A" w:rsidRPr="0095120B">
              <w:rPr>
                <w:rFonts w:ascii="Times New Roman" w:hAnsi="Times New Roman"/>
                <w:bCs/>
                <w:spacing w:val="-2"/>
              </w:rPr>
              <w:t>, a przed wydaniem decyzji administracyjnej</w:t>
            </w:r>
            <w:r w:rsidR="00346CCA">
              <w:rPr>
                <w:rFonts w:ascii="Times New Roman" w:hAnsi="Times New Roman"/>
                <w:bCs/>
                <w:spacing w:val="-2"/>
              </w:rPr>
              <w:t xml:space="preserve"> w tym zakresie</w:t>
            </w:r>
            <w:r w:rsidRPr="0095120B">
              <w:rPr>
                <w:rFonts w:ascii="Times New Roman" w:hAnsi="Times New Roman"/>
                <w:bCs/>
                <w:spacing w:val="-2"/>
              </w:rPr>
              <w:t>;</w:t>
            </w:r>
          </w:p>
          <w:p w14:paraId="3F9CD7EC" w14:textId="663C5E2C" w:rsidR="00E61C7A" w:rsidRPr="0095120B" w:rsidRDefault="00960B5D" w:rsidP="007F2D31">
            <w:pPr>
              <w:pStyle w:val="Akapitzlist"/>
              <w:numPr>
                <w:ilvl w:val="0"/>
                <w:numId w:val="37"/>
              </w:numPr>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16 w sekcji 1 OSR proponuje się </w:t>
            </w:r>
            <w:r w:rsidR="00582E2E">
              <w:rPr>
                <w:rFonts w:ascii="Times New Roman" w:hAnsi="Times New Roman"/>
                <w:bCs/>
                <w:spacing w:val="-2"/>
              </w:rPr>
              <w:t xml:space="preserve">nowe brzmienie przepisów dotyczących ustawowego warunku </w:t>
            </w:r>
            <w:r w:rsidR="00AD3916">
              <w:rPr>
                <w:rFonts w:ascii="Times New Roman" w:hAnsi="Times New Roman"/>
                <w:bCs/>
                <w:spacing w:val="-2"/>
              </w:rPr>
              <w:t>obniżenia</w:t>
            </w:r>
            <w:r w:rsidR="00582E2E">
              <w:rPr>
                <w:rFonts w:ascii="Times New Roman" w:hAnsi="Times New Roman"/>
                <w:bCs/>
                <w:spacing w:val="-2"/>
              </w:rPr>
              <w:t xml:space="preserve"> ceny zbytu netto</w:t>
            </w:r>
            <w:r w:rsidR="00E61C7A" w:rsidRPr="0095120B">
              <w:rPr>
                <w:rFonts w:ascii="Times New Roman" w:hAnsi="Times New Roman"/>
                <w:bCs/>
                <w:spacing w:val="-2"/>
              </w:rPr>
              <w:t xml:space="preserve">, </w:t>
            </w:r>
            <w:r w:rsidR="00582E2E" w:rsidRPr="0095120B">
              <w:rPr>
                <w:rFonts w:ascii="Times New Roman" w:hAnsi="Times New Roman"/>
                <w:bCs/>
                <w:spacing w:val="-2"/>
              </w:rPr>
              <w:t>któr</w:t>
            </w:r>
            <w:r w:rsidR="00582E2E">
              <w:rPr>
                <w:rFonts w:ascii="Times New Roman" w:hAnsi="Times New Roman"/>
                <w:bCs/>
                <w:spacing w:val="-2"/>
              </w:rPr>
              <w:t xml:space="preserve">e </w:t>
            </w:r>
            <w:r w:rsidR="00E61C7A" w:rsidRPr="0095120B">
              <w:rPr>
                <w:rFonts w:ascii="Times New Roman" w:hAnsi="Times New Roman"/>
                <w:bCs/>
                <w:spacing w:val="-2"/>
              </w:rPr>
              <w:t>wprowadzał</w:t>
            </w:r>
            <w:r w:rsidR="00582E2E">
              <w:rPr>
                <w:rFonts w:ascii="Times New Roman" w:hAnsi="Times New Roman"/>
                <w:bCs/>
                <w:spacing w:val="-2"/>
              </w:rPr>
              <w:t>o</w:t>
            </w:r>
            <w:r w:rsidR="00E61C7A" w:rsidRPr="0095120B">
              <w:rPr>
                <w:rFonts w:ascii="Times New Roman" w:hAnsi="Times New Roman"/>
                <w:bCs/>
                <w:spacing w:val="-2"/>
              </w:rPr>
              <w:t xml:space="preserve">by mechanizm, </w:t>
            </w:r>
            <w:r w:rsidR="00346CCA">
              <w:rPr>
                <w:rFonts w:ascii="Times New Roman" w:hAnsi="Times New Roman"/>
                <w:bCs/>
                <w:spacing w:val="-2"/>
              </w:rPr>
              <w:t xml:space="preserve">zgodnie z którym </w:t>
            </w:r>
            <w:r w:rsidR="00B42B18">
              <w:rPr>
                <w:rFonts w:ascii="Times New Roman" w:hAnsi="Times New Roman"/>
                <w:bCs/>
                <w:spacing w:val="-2"/>
              </w:rPr>
              <w:t>z</w:t>
            </w:r>
            <w:r w:rsidRPr="0095120B">
              <w:rPr>
                <w:rFonts w:ascii="Times New Roman" w:hAnsi="Times New Roman"/>
                <w:bCs/>
                <w:spacing w:val="-2"/>
              </w:rPr>
              <w:t xml:space="preserve"> momentem końca </w:t>
            </w:r>
            <w:r w:rsidR="00E61C7A" w:rsidRPr="0095120B">
              <w:rPr>
                <w:rFonts w:ascii="Times New Roman" w:hAnsi="Times New Roman"/>
                <w:bCs/>
                <w:spacing w:val="-2"/>
              </w:rPr>
              <w:t>okresu wyłączności rynkowej</w:t>
            </w:r>
            <w:r w:rsidR="00346CCA">
              <w:rPr>
                <w:rFonts w:ascii="Times New Roman" w:hAnsi="Times New Roman"/>
                <w:bCs/>
                <w:spacing w:val="-2"/>
              </w:rPr>
              <w:t>,</w:t>
            </w:r>
            <w:r w:rsidR="00B42B18">
              <w:rPr>
                <w:rFonts w:ascii="Times New Roman" w:hAnsi="Times New Roman"/>
                <w:bCs/>
                <w:spacing w:val="-2"/>
              </w:rPr>
              <w:t xml:space="preserve"> </w:t>
            </w:r>
            <w:r w:rsidRPr="0095120B">
              <w:rPr>
                <w:rFonts w:ascii="Times New Roman" w:hAnsi="Times New Roman"/>
                <w:bCs/>
                <w:spacing w:val="-2"/>
              </w:rPr>
              <w:t>w</w:t>
            </w:r>
            <w:r w:rsidR="00E61C7A" w:rsidRPr="0095120B">
              <w:rPr>
                <w:rFonts w:ascii="Times New Roman" w:hAnsi="Times New Roman"/>
                <w:bCs/>
                <w:spacing w:val="-2"/>
              </w:rPr>
              <w:t>nioskodawca będzie musiał obniżyć cenę</w:t>
            </w:r>
            <w:r w:rsidR="00785AC3">
              <w:rPr>
                <w:rFonts w:ascii="Times New Roman" w:hAnsi="Times New Roman"/>
                <w:bCs/>
                <w:spacing w:val="-2"/>
              </w:rPr>
              <w:t xml:space="preserve"> </w:t>
            </w:r>
            <w:r w:rsidR="00E2620C">
              <w:rPr>
                <w:rFonts w:ascii="Times New Roman" w:hAnsi="Times New Roman"/>
                <w:bCs/>
                <w:spacing w:val="-2"/>
              </w:rPr>
              <w:t xml:space="preserve">zbytu netto leku </w:t>
            </w:r>
            <w:r w:rsidR="00E61C7A" w:rsidRPr="0095120B">
              <w:rPr>
                <w:rFonts w:ascii="Times New Roman" w:hAnsi="Times New Roman"/>
                <w:bCs/>
                <w:spacing w:val="-2"/>
              </w:rPr>
              <w:t>łącznie o 25</w:t>
            </w:r>
            <w:r w:rsidR="0086270E">
              <w:rPr>
                <w:rFonts w:ascii="Times New Roman" w:hAnsi="Times New Roman"/>
                <w:bCs/>
                <w:spacing w:val="-2"/>
              </w:rPr>
              <w:t xml:space="preserve"> punktów procentowych</w:t>
            </w:r>
            <w:r w:rsidR="00E61C7A" w:rsidRPr="0095120B">
              <w:rPr>
                <w:rFonts w:ascii="Times New Roman" w:hAnsi="Times New Roman"/>
                <w:bCs/>
                <w:spacing w:val="-2"/>
              </w:rPr>
              <w:t xml:space="preserve"> licząc od momentu </w:t>
            </w:r>
            <w:r w:rsidR="00C70D1E" w:rsidRPr="00C70D1E">
              <w:rPr>
                <w:rFonts w:ascii="Times New Roman" w:hAnsi="Times New Roman"/>
                <w:bCs/>
                <w:spacing w:val="-2"/>
              </w:rPr>
              <w:t>wydania pierwszej decyzji administracyjnej o objęciu refundacją i ustaleni</w:t>
            </w:r>
            <w:r w:rsidR="007C3755">
              <w:rPr>
                <w:rFonts w:ascii="Times New Roman" w:hAnsi="Times New Roman"/>
                <w:bCs/>
                <w:spacing w:val="-2"/>
              </w:rPr>
              <w:t>u</w:t>
            </w:r>
            <w:r w:rsidR="00C70D1E" w:rsidRPr="00C70D1E">
              <w:rPr>
                <w:rFonts w:ascii="Times New Roman" w:hAnsi="Times New Roman"/>
                <w:bCs/>
                <w:spacing w:val="-2"/>
              </w:rPr>
              <w:t xml:space="preserve"> ceny zbytu netto</w:t>
            </w:r>
            <w:r w:rsidR="00C70D1E">
              <w:rPr>
                <w:rFonts w:ascii="Times New Roman" w:hAnsi="Times New Roman"/>
                <w:bCs/>
                <w:spacing w:val="-2"/>
              </w:rPr>
              <w:t xml:space="preserve"> </w:t>
            </w:r>
            <w:r w:rsidR="00E61C7A" w:rsidRPr="0095120B">
              <w:rPr>
                <w:rFonts w:ascii="Times New Roman" w:hAnsi="Times New Roman"/>
                <w:bCs/>
                <w:spacing w:val="-2"/>
              </w:rPr>
              <w:t>leku w danym wskazaniu</w:t>
            </w:r>
            <w:r w:rsidR="00582E2E">
              <w:rPr>
                <w:rFonts w:ascii="Times New Roman" w:hAnsi="Times New Roman"/>
                <w:bCs/>
                <w:spacing w:val="-2"/>
              </w:rPr>
              <w:t xml:space="preserve">. Dodatkowo do art. 2 </w:t>
            </w:r>
            <w:r w:rsidR="007C3755">
              <w:rPr>
                <w:rFonts w:ascii="Times New Roman" w:hAnsi="Times New Roman"/>
                <w:bCs/>
                <w:spacing w:val="-2"/>
              </w:rPr>
              <w:t xml:space="preserve">ustawy refundacyjnej </w:t>
            </w:r>
            <w:r w:rsidR="00582E2E">
              <w:rPr>
                <w:rFonts w:ascii="Times New Roman" w:hAnsi="Times New Roman"/>
                <w:bCs/>
                <w:spacing w:val="-2"/>
              </w:rPr>
              <w:t xml:space="preserve">wprowadza się definicję </w:t>
            </w:r>
            <w:r w:rsidR="00AF45A3">
              <w:rPr>
                <w:rFonts w:ascii="Times New Roman" w:hAnsi="Times New Roman"/>
                <w:bCs/>
                <w:spacing w:val="-2"/>
              </w:rPr>
              <w:t>„</w:t>
            </w:r>
            <w:r w:rsidR="00582E2E">
              <w:rPr>
                <w:rFonts w:ascii="Times New Roman" w:hAnsi="Times New Roman"/>
                <w:bCs/>
                <w:spacing w:val="-2"/>
              </w:rPr>
              <w:t>ceny efektywnej</w:t>
            </w:r>
            <w:r w:rsidR="00AF45A3">
              <w:rPr>
                <w:rFonts w:ascii="Times New Roman" w:hAnsi="Times New Roman"/>
                <w:bCs/>
                <w:spacing w:val="-2"/>
              </w:rPr>
              <w:t>”</w:t>
            </w:r>
            <w:r w:rsidR="005926BD">
              <w:rPr>
                <w:rFonts w:ascii="Times New Roman" w:hAnsi="Times New Roman"/>
                <w:bCs/>
                <w:spacing w:val="-2"/>
              </w:rPr>
              <w:t xml:space="preserve"> oraz zmiany techniczne wynikające z wprowadzenia </w:t>
            </w:r>
            <w:r w:rsidR="00AF45A3">
              <w:rPr>
                <w:rFonts w:ascii="Times New Roman" w:hAnsi="Times New Roman"/>
                <w:bCs/>
                <w:spacing w:val="-2"/>
              </w:rPr>
              <w:t xml:space="preserve">tej </w:t>
            </w:r>
            <w:r w:rsidR="005926BD">
              <w:rPr>
                <w:rFonts w:ascii="Times New Roman" w:hAnsi="Times New Roman"/>
                <w:bCs/>
                <w:spacing w:val="-2"/>
              </w:rPr>
              <w:t xml:space="preserve">definicji do słownika </w:t>
            </w:r>
            <w:r w:rsidR="007C3755">
              <w:rPr>
                <w:rFonts w:ascii="Times New Roman" w:hAnsi="Times New Roman"/>
                <w:bCs/>
                <w:spacing w:val="-2"/>
              </w:rPr>
              <w:t xml:space="preserve">ww. </w:t>
            </w:r>
            <w:r w:rsidR="005926BD">
              <w:rPr>
                <w:rFonts w:ascii="Times New Roman" w:hAnsi="Times New Roman"/>
                <w:bCs/>
                <w:spacing w:val="-2"/>
              </w:rPr>
              <w:t>ustawy</w:t>
            </w:r>
            <w:r w:rsidR="00346CCA">
              <w:rPr>
                <w:rFonts w:ascii="Times New Roman" w:hAnsi="Times New Roman"/>
                <w:bCs/>
                <w:spacing w:val="-2"/>
              </w:rPr>
              <w:t>;</w:t>
            </w:r>
          </w:p>
          <w:p w14:paraId="69BA2732" w14:textId="34F5B725" w:rsidR="00FE4B38" w:rsidRPr="0095120B" w:rsidRDefault="00E10A43"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17 sekcji </w:t>
            </w:r>
            <w:r w:rsidR="004B4BC7" w:rsidRPr="0095120B">
              <w:rPr>
                <w:rFonts w:ascii="Times New Roman" w:hAnsi="Times New Roman"/>
                <w:bCs/>
                <w:spacing w:val="-2"/>
              </w:rPr>
              <w:t xml:space="preserve">1 </w:t>
            </w:r>
            <w:r w:rsidR="00E61C7A" w:rsidRPr="0095120B">
              <w:rPr>
                <w:rFonts w:ascii="Times New Roman" w:hAnsi="Times New Roman"/>
                <w:bCs/>
                <w:spacing w:val="-2"/>
              </w:rPr>
              <w:t>OSR proponuje się</w:t>
            </w:r>
            <w:bookmarkStart w:id="4" w:name="_Hlk179970734"/>
            <w:r w:rsidR="00E61C7A" w:rsidRPr="0095120B">
              <w:rPr>
                <w:rFonts w:ascii="Times New Roman" w:hAnsi="Times New Roman"/>
                <w:bCs/>
                <w:spacing w:val="-2"/>
              </w:rPr>
              <w:t xml:space="preserve"> w</w:t>
            </w:r>
            <w:r w:rsidR="00FE4B38" w:rsidRPr="0095120B">
              <w:rPr>
                <w:rFonts w:ascii="Times New Roman" w:hAnsi="Times New Roman"/>
                <w:bCs/>
                <w:spacing w:val="-2"/>
              </w:rPr>
              <w:t xml:space="preserve">prowadzenie </w:t>
            </w:r>
            <w:r w:rsidRPr="0095120B">
              <w:rPr>
                <w:rFonts w:ascii="Times New Roman" w:hAnsi="Times New Roman"/>
                <w:bCs/>
                <w:spacing w:val="-2"/>
              </w:rPr>
              <w:t>czwartej</w:t>
            </w:r>
            <w:r w:rsidR="00FE4B38" w:rsidRPr="0095120B">
              <w:rPr>
                <w:rFonts w:ascii="Times New Roman" w:hAnsi="Times New Roman"/>
                <w:bCs/>
                <w:spacing w:val="-2"/>
              </w:rPr>
              <w:t xml:space="preserve"> kategorii dostępności</w:t>
            </w:r>
            <w:r w:rsidR="00346CCA">
              <w:rPr>
                <w:rFonts w:ascii="Times New Roman" w:hAnsi="Times New Roman"/>
                <w:bCs/>
                <w:spacing w:val="-2"/>
              </w:rPr>
              <w:t xml:space="preserve"> refundacyjnej –</w:t>
            </w:r>
            <w:r w:rsidR="00FE4B38" w:rsidRPr="0095120B">
              <w:rPr>
                <w:rFonts w:ascii="Times New Roman" w:hAnsi="Times New Roman"/>
                <w:bCs/>
                <w:spacing w:val="-2"/>
              </w:rPr>
              <w:t xml:space="preserve"> dla leków we wskazaniach nieonkologicznych</w:t>
            </w:r>
            <w:r w:rsidR="00346CCA">
              <w:rPr>
                <w:rFonts w:ascii="Times New Roman" w:hAnsi="Times New Roman"/>
                <w:bCs/>
                <w:spacing w:val="-2"/>
              </w:rPr>
              <w:t>,</w:t>
            </w:r>
            <w:r w:rsidR="00FE4B38" w:rsidRPr="0095120B">
              <w:rPr>
                <w:rFonts w:ascii="Times New Roman" w:hAnsi="Times New Roman"/>
                <w:bCs/>
                <w:spacing w:val="-2"/>
              </w:rPr>
              <w:t xml:space="preserve"> </w:t>
            </w:r>
            <w:r w:rsidR="007C3755">
              <w:rPr>
                <w:rFonts w:ascii="Times New Roman" w:hAnsi="Times New Roman"/>
                <w:bCs/>
                <w:spacing w:val="-2"/>
              </w:rPr>
              <w:t xml:space="preserve">wraz z </w:t>
            </w:r>
            <w:r w:rsidR="00FE4B38" w:rsidRPr="0095120B">
              <w:rPr>
                <w:rFonts w:ascii="Times New Roman" w:hAnsi="Times New Roman"/>
                <w:bCs/>
                <w:spacing w:val="-2"/>
              </w:rPr>
              <w:t>umożliwienie</w:t>
            </w:r>
            <w:r w:rsidR="007C3755">
              <w:rPr>
                <w:rFonts w:ascii="Times New Roman" w:hAnsi="Times New Roman"/>
                <w:bCs/>
                <w:spacing w:val="-2"/>
              </w:rPr>
              <w:t>m</w:t>
            </w:r>
            <w:r w:rsidR="00FE4B38" w:rsidRPr="0095120B">
              <w:rPr>
                <w:rFonts w:ascii="Times New Roman" w:hAnsi="Times New Roman"/>
                <w:bCs/>
                <w:spacing w:val="-2"/>
              </w:rPr>
              <w:t xml:space="preserve"> </w:t>
            </w:r>
            <w:r w:rsidR="00E61C7A" w:rsidRPr="0095120B">
              <w:rPr>
                <w:rFonts w:ascii="Times New Roman" w:hAnsi="Times New Roman"/>
                <w:bCs/>
                <w:spacing w:val="-2"/>
              </w:rPr>
              <w:t>przenoszeni</w:t>
            </w:r>
            <w:r w:rsidRPr="0095120B">
              <w:rPr>
                <w:rFonts w:ascii="Times New Roman" w:hAnsi="Times New Roman"/>
                <w:bCs/>
                <w:spacing w:val="-2"/>
              </w:rPr>
              <w:t>a</w:t>
            </w:r>
            <w:r w:rsidR="00FE4B38" w:rsidRPr="0095120B">
              <w:rPr>
                <w:rFonts w:ascii="Times New Roman" w:hAnsi="Times New Roman"/>
                <w:bCs/>
                <w:spacing w:val="-2"/>
              </w:rPr>
              <w:t xml:space="preserve"> leku z programu lekowego do</w:t>
            </w:r>
            <w:r w:rsidR="00346CCA">
              <w:rPr>
                <w:rFonts w:ascii="Times New Roman" w:hAnsi="Times New Roman"/>
                <w:bCs/>
                <w:spacing w:val="-2"/>
              </w:rPr>
              <w:t xml:space="preserve"> kategorii leku przezn</w:t>
            </w:r>
            <w:r w:rsidR="007C3755">
              <w:rPr>
                <w:rFonts w:ascii="Times New Roman" w:hAnsi="Times New Roman"/>
                <w:bCs/>
                <w:spacing w:val="-2"/>
              </w:rPr>
              <w:t>a</w:t>
            </w:r>
            <w:r w:rsidR="00346CCA">
              <w:rPr>
                <w:rFonts w:ascii="Times New Roman" w:hAnsi="Times New Roman"/>
                <w:bCs/>
                <w:spacing w:val="-2"/>
              </w:rPr>
              <w:t>czonego do stosowania w</w:t>
            </w:r>
            <w:r w:rsidR="00FE4B38" w:rsidRPr="0095120B">
              <w:rPr>
                <w:rFonts w:ascii="Times New Roman" w:hAnsi="Times New Roman"/>
                <w:bCs/>
                <w:spacing w:val="-2"/>
              </w:rPr>
              <w:t xml:space="preserve"> A</w:t>
            </w:r>
            <w:r w:rsidRPr="0095120B">
              <w:rPr>
                <w:rFonts w:ascii="Times New Roman" w:hAnsi="Times New Roman"/>
                <w:bCs/>
                <w:spacing w:val="-2"/>
              </w:rPr>
              <w:t xml:space="preserve">mbulatoryjnej </w:t>
            </w:r>
            <w:r w:rsidR="00FE4B38" w:rsidRPr="0095120B">
              <w:rPr>
                <w:rFonts w:ascii="Times New Roman" w:hAnsi="Times New Roman"/>
                <w:bCs/>
                <w:spacing w:val="-2"/>
              </w:rPr>
              <w:t>O</w:t>
            </w:r>
            <w:r w:rsidRPr="0095120B">
              <w:rPr>
                <w:rFonts w:ascii="Times New Roman" w:hAnsi="Times New Roman"/>
                <w:bCs/>
                <w:spacing w:val="-2"/>
              </w:rPr>
              <w:t>pie</w:t>
            </w:r>
            <w:r w:rsidR="00346CCA">
              <w:rPr>
                <w:rFonts w:ascii="Times New Roman" w:hAnsi="Times New Roman"/>
                <w:bCs/>
                <w:spacing w:val="-2"/>
              </w:rPr>
              <w:t>ce</w:t>
            </w:r>
            <w:r w:rsidRPr="0095120B">
              <w:rPr>
                <w:rFonts w:ascii="Times New Roman" w:hAnsi="Times New Roman"/>
                <w:bCs/>
                <w:spacing w:val="-2"/>
              </w:rPr>
              <w:t xml:space="preserve"> </w:t>
            </w:r>
            <w:r w:rsidR="00FE4B38" w:rsidRPr="0095120B">
              <w:rPr>
                <w:rFonts w:ascii="Times New Roman" w:hAnsi="Times New Roman"/>
                <w:bCs/>
                <w:spacing w:val="-2"/>
              </w:rPr>
              <w:t>S</w:t>
            </w:r>
            <w:r w:rsidRPr="0095120B">
              <w:rPr>
                <w:rFonts w:ascii="Times New Roman" w:hAnsi="Times New Roman"/>
                <w:bCs/>
                <w:spacing w:val="-2"/>
              </w:rPr>
              <w:t>pecjalistycznej</w:t>
            </w:r>
            <w:r w:rsidR="00FE4B38" w:rsidRPr="0095120B">
              <w:rPr>
                <w:rFonts w:ascii="Times New Roman" w:hAnsi="Times New Roman"/>
                <w:bCs/>
                <w:spacing w:val="-2"/>
              </w:rPr>
              <w:t xml:space="preserve"> oraz </w:t>
            </w:r>
            <w:r w:rsidR="007C3755" w:rsidRPr="0095120B">
              <w:rPr>
                <w:rFonts w:ascii="Times New Roman" w:hAnsi="Times New Roman"/>
                <w:bCs/>
                <w:spacing w:val="-2"/>
              </w:rPr>
              <w:t>możliwoś</w:t>
            </w:r>
            <w:r w:rsidR="007C3755">
              <w:rPr>
                <w:rFonts w:ascii="Times New Roman" w:hAnsi="Times New Roman"/>
                <w:bCs/>
                <w:spacing w:val="-2"/>
              </w:rPr>
              <w:t>ci</w:t>
            </w:r>
            <w:r w:rsidR="007C3755" w:rsidRPr="0095120B">
              <w:rPr>
                <w:rFonts w:ascii="Times New Roman" w:hAnsi="Times New Roman"/>
                <w:bCs/>
                <w:spacing w:val="-2"/>
              </w:rPr>
              <w:t xml:space="preserve"> </w:t>
            </w:r>
            <w:r w:rsidR="00FE4B38" w:rsidRPr="0095120B">
              <w:rPr>
                <w:rFonts w:ascii="Times New Roman" w:hAnsi="Times New Roman"/>
                <w:bCs/>
                <w:spacing w:val="-2"/>
              </w:rPr>
              <w:t>aplikowania wniosku</w:t>
            </w:r>
            <w:r w:rsidR="0095120B" w:rsidRPr="0095120B">
              <w:rPr>
                <w:rFonts w:ascii="Times New Roman" w:hAnsi="Times New Roman"/>
                <w:bCs/>
                <w:spacing w:val="-2"/>
              </w:rPr>
              <w:t xml:space="preserve"> refundacyjnego</w:t>
            </w:r>
            <w:r w:rsidR="00FE4B38" w:rsidRPr="0095120B">
              <w:rPr>
                <w:rFonts w:ascii="Times New Roman" w:hAnsi="Times New Roman"/>
                <w:bCs/>
                <w:spacing w:val="-2"/>
              </w:rPr>
              <w:t xml:space="preserve"> od samego początku przez </w:t>
            </w:r>
            <w:r w:rsidR="0095120B" w:rsidRPr="0095120B">
              <w:rPr>
                <w:rFonts w:ascii="Times New Roman" w:hAnsi="Times New Roman"/>
                <w:bCs/>
                <w:spacing w:val="-2"/>
              </w:rPr>
              <w:t>wnioskodawcę</w:t>
            </w:r>
            <w:r w:rsidR="00FE4B38" w:rsidRPr="0095120B">
              <w:rPr>
                <w:rFonts w:ascii="Times New Roman" w:hAnsi="Times New Roman"/>
                <w:bCs/>
                <w:spacing w:val="-2"/>
              </w:rPr>
              <w:t xml:space="preserve"> do A</w:t>
            </w:r>
            <w:r w:rsidRPr="0095120B">
              <w:rPr>
                <w:rFonts w:ascii="Times New Roman" w:hAnsi="Times New Roman"/>
                <w:bCs/>
                <w:spacing w:val="-2"/>
              </w:rPr>
              <w:t xml:space="preserve">mbulatoryjnej </w:t>
            </w:r>
            <w:r w:rsidR="00FE4B38" w:rsidRPr="0095120B">
              <w:rPr>
                <w:rFonts w:ascii="Times New Roman" w:hAnsi="Times New Roman"/>
                <w:bCs/>
                <w:spacing w:val="-2"/>
              </w:rPr>
              <w:t>O</w:t>
            </w:r>
            <w:r w:rsidRPr="0095120B">
              <w:rPr>
                <w:rFonts w:ascii="Times New Roman" w:hAnsi="Times New Roman"/>
                <w:bCs/>
                <w:spacing w:val="-2"/>
              </w:rPr>
              <w:t xml:space="preserve">pieki </w:t>
            </w:r>
            <w:r w:rsidR="00FE4B38" w:rsidRPr="0095120B">
              <w:rPr>
                <w:rFonts w:ascii="Times New Roman" w:hAnsi="Times New Roman"/>
                <w:bCs/>
                <w:spacing w:val="-2"/>
              </w:rPr>
              <w:t>S</w:t>
            </w:r>
            <w:r w:rsidRPr="0095120B">
              <w:rPr>
                <w:rFonts w:ascii="Times New Roman" w:hAnsi="Times New Roman"/>
                <w:bCs/>
                <w:spacing w:val="-2"/>
              </w:rPr>
              <w:t>pecjalistycznej</w:t>
            </w:r>
            <w:r w:rsidR="00E61C7A" w:rsidRPr="0095120B">
              <w:rPr>
                <w:rFonts w:ascii="Times New Roman" w:hAnsi="Times New Roman"/>
                <w:bCs/>
                <w:spacing w:val="-2"/>
              </w:rPr>
              <w:t xml:space="preserve">. Dzięki temu nastąpi </w:t>
            </w:r>
            <w:r w:rsidR="00FE4B38" w:rsidRPr="0095120B">
              <w:rPr>
                <w:rFonts w:ascii="Times New Roman" w:hAnsi="Times New Roman"/>
                <w:bCs/>
                <w:spacing w:val="-2"/>
              </w:rPr>
              <w:t xml:space="preserve">zwiększenie potencjału leków generycznych i </w:t>
            </w:r>
            <w:proofErr w:type="spellStart"/>
            <w:r w:rsidR="00FE4B38" w:rsidRPr="0095120B">
              <w:rPr>
                <w:rFonts w:ascii="Times New Roman" w:hAnsi="Times New Roman"/>
                <w:bCs/>
                <w:spacing w:val="-2"/>
              </w:rPr>
              <w:t>biopodobnych</w:t>
            </w:r>
            <w:proofErr w:type="spellEnd"/>
            <w:r w:rsidR="00E61C7A" w:rsidRPr="0095120B">
              <w:rPr>
                <w:rFonts w:ascii="Times New Roman" w:hAnsi="Times New Roman"/>
                <w:bCs/>
                <w:spacing w:val="-2"/>
              </w:rPr>
              <w:t xml:space="preserve"> oraz</w:t>
            </w:r>
            <w:r w:rsidR="00FE4B38" w:rsidRPr="0095120B">
              <w:rPr>
                <w:rFonts w:ascii="Times New Roman" w:hAnsi="Times New Roman"/>
                <w:bCs/>
                <w:spacing w:val="-2"/>
              </w:rPr>
              <w:t xml:space="preserve"> zmniejszenie obciążenia administracyjnego szpitali</w:t>
            </w:r>
            <w:r w:rsidR="00346CCA">
              <w:rPr>
                <w:rFonts w:ascii="Times New Roman" w:hAnsi="Times New Roman"/>
                <w:bCs/>
                <w:spacing w:val="-2"/>
              </w:rPr>
              <w:t>,</w:t>
            </w:r>
            <w:r w:rsidR="00E61C7A" w:rsidRPr="0095120B">
              <w:rPr>
                <w:rFonts w:ascii="Times New Roman" w:hAnsi="Times New Roman"/>
                <w:bCs/>
                <w:spacing w:val="-2"/>
              </w:rPr>
              <w:t xml:space="preserve"> </w:t>
            </w:r>
            <w:r w:rsidR="00346CCA">
              <w:rPr>
                <w:rFonts w:ascii="Times New Roman" w:hAnsi="Times New Roman"/>
                <w:bCs/>
                <w:spacing w:val="-2"/>
              </w:rPr>
              <w:t>n</w:t>
            </w:r>
            <w:r w:rsidR="00E61C7A" w:rsidRPr="0095120B">
              <w:rPr>
                <w:rFonts w:ascii="Times New Roman" w:hAnsi="Times New Roman"/>
                <w:bCs/>
                <w:spacing w:val="-2"/>
              </w:rPr>
              <w:t xml:space="preserve">atomiast pacjenci </w:t>
            </w:r>
            <w:r w:rsidR="00346CCA">
              <w:rPr>
                <w:rFonts w:ascii="Times New Roman" w:hAnsi="Times New Roman"/>
                <w:bCs/>
                <w:spacing w:val="-2"/>
              </w:rPr>
              <w:t>uzyskają</w:t>
            </w:r>
            <w:r w:rsidR="00E61C7A" w:rsidRPr="0095120B">
              <w:rPr>
                <w:rFonts w:ascii="Times New Roman" w:hAnsi="Times New Roman"/>
                <w:bCs/>
                <w:spacing w:val="-2"/>
              </w:rPr>
              <w:t xml:space="preserve"> łatwiejszy dostęp do tych leków</w:t>
            </w:r>
            <w:r w:rsidRPr="0095120B">
              <w:rPr>
                <w:rFonts w:ascii="Times New Roman" w:hAnsi="Times New Roman"/>
                <w:bCs/>
                <w:spacing w:val="-2"/>
              </w:rPr>
              <w:t>;</w:t>
            </w:r>
          </w:p>
          <w:p w14:paraId="6E21865A" w14:textId="489BE9A4" w:rsidR="00FE4B38" w:rsidRPr="0095120B" w:rsidRDefault="004B4BC7"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18 w sekcji 1 OSR proponuje się w</w:t>
            </w:r>
            <w:r w:rsidR="00FE4B38" w:rsidRPr="0095120B">
              <w:rPr>
                <w:rFonts w:ascii="Times New Roman" w:hAnsi="Times New Roman"/>
                <w:bCs/>
                <w:spacing w:val="-2"/>
              </w:rPr>
              <w:t>prowadzenie</w:t>
            </w:r>
            <w:r w:rsidR="00E61C7A" w:rsidRPr="0095120B">
              <w:rPr>
                <w:rFonts w:ascii="Times New Roman" w:hAnsi="Times New Roman"/>
                <w:bCs/>
                <w:spacing w:val="-2"/>
              </w:rPr>
              <w:t xml:space="preserve"> do ustawy</w:t>
            </w:r>
            <w:r w:rsidR="00E10A43" w:rsidRPr="0095120B">
              <w:rPr>
                <w:rFonts w:ascii="Times New Roman" w:hAnsi="Times New Roman"/>
                <w:bCs/>
                <w:spacing w:val="-2"/>
              </w:rPr>
              <w:t xml:space="preserve"> refundacyjnej</w:t>
            </w:r>
            <w:r w:rsidR="00FE4B38" w:rsidRPr="0095120B">
              <w:rPr>
                <w:rFonts w:ascii="Times New Roman" w:hAnsi="Times New Roman"/>
                <w:bCs/>
                <w:spacing w:val="-2"/>
              </w:rPr>
              <w:t xml:space="preserve"> </w:t>
            </w:r>
            <w:r w:rsidR="005E2347" w:rsidRPr="0095120B">
              <w:rPr>
                <w:rFonts w:ascii="Times New Roman" w:hAnsi="Times New Roman"/>
                <w:bCs/>
                <w:spacing w:val="-2"/>
              </w:rPr>
              <w:t>definicji</w:t>
            </w:r>
            <w:r w:rsidR="00856641" w:rsidRPr="0095120B">
              <w:rPr>
                <w:rFonts w:ascii="Times New Roman" w:hAnsi="Times New Roman"/>
                <w:bCs/>
                <w:spacing w:val="-2"/>
              </w:rPr>
              <w:t xml:space="preserve"> </w:t>
            </w:r>
            <w:r w:rsidR="0012032E">
              <w:rPr>
                <w:rFonts w:ascii="Times New Roman" w:hAnsi="Times New Roman"/>
                <w:bCs/>
                <w:spacing w:val="-2"/>
              </w:rPr>
              <w:t>„</w:t>
            </w:r>
            <w:r w:rsidR="00856641" w:rsidRPr="0095120B">
              <w:rPr>
                <w:rFonts w:ascii="Times New Roman" w:hAnsi="Times New Roman"/>
                <w:bCs/>
                <w:spacing w:val="-2"/>
              </w:rPr>
              <w:t>leku sierocego</w:t>
            </w:r>
            <w:r w:rsidR="0012032E">
              <w:rPr>
                <w:rFonts w:ascii="Times New Roman" w:hAnsi="Times New Roman"/>
                <w:bCs/>
                <w:spacing w:val="-2"/>
              </w:rPr>
              <w:t>”</w:t>
            </w:r>
            <w:r w:rsidR="00856641" w:rsidRPr="0095120B">
              <w:rPr>
                <w:rFonts w:ascii="Times New Roman" w:hAnsi="Times New Roman"/>
                <w:bCs/>
                <w:spacing w:val="-2"/>
              </w:rPr>
              <w:t xml:space="preserve"> i </w:t>
            </w:r>
            <w:r w:rsidR="00E10A43" w:rsidRPr="0095120B">
              <w:rPr>
                <w:rFonts w:ascii="Times New Roman" w:hAnsi="Times New Roman"/>
                <w:bCs/>
                <w:spacing w:val="-2"/>
              </w:rPr>
              <w:t xml:space="preserve">definicji </w:t>
            </w:r>
            <w:r w:rsidR="0012032E">
              <w:rPr>
                <w:rFonts w:ascii="Times New Roman" w:hAnsi="Times New Roman"/>
                <w:bCs/>
                <w:spacing w:val="-2"/>
              </w:rPr>
              <w:t>„</w:t>
            </w:r>
            <w:r w:rsidR="00FE4B38" w:rsidRPr="0095120B">
              <w:rPr>
                <w:rFonts w:ascii="Times New Roman" w:hAnsi="Times New Roman"/>
                <w:bCs/>
                <w:spacing w:val="-2"/>
              </w:rPr>
              <w:t>analizy wielokryterialnej</w:t>
            </w:r>
            <w:r w:rsidR="0012032E">
              <w:rPr>
                <w:rFonts w:ascii="Times New Roman" w:hAnsi="Times New Roman"/>
                <w:bCs/>
                <w:spacing w:val="-2"/>
              </w:rPr>
              <w:t>”</w:t>
            </w:r>
            <w:r w:rsidR="00260400">
              <w:rPr>
                <w:rFonts w:ascii="Times New Roman" w:hAnsi="Times New Roman"/>
                <w:bCs/>
                <w:spacing w:val="-2"/>
              </w:rPr>
              <w:t xml:space="preserve"> wraz ze zmianami </w:t>
            </w:r>
            <w:r w:rsidR="007C1271">
              <w:rPr>
                <w:rFonts w:ascii="Times New Roman" w:hAnsi="Times New Roman"/>
                <w:bCs/>
                <w:spacing w:val="-2"/>
              </w:rPr>
              <w:t>wprowadzającymi</w:t>
            </w:r>
            <w:r w:rsidR="00A86416">
              <w:rPr>
                <w:rFonts w:ascii="Times New Roman" w:hAnsi="Times New Roman"/>
                <w:bCs/>
                <w:spacing w:val="-2"/>
              </w:rPr>
              <w:t xml:space="preserve"> te elementy </w:t>
            </w:r>
            <w:r w:rsidR="00CF00C6">
              <w:rPr>
                <w:rFonts w:ascii="Times New Roman" w:hAnsi="Times New Roman"/>
                <w:bCs/>
                <w:spacing w:val="-2"/>
              </w:rPr>
              <w:t>do</w:t>
            </w:r>
            <w:r w:rsidR="00A86416">
              <w:rPr>
                <w:rFonts w:ascii="Times New Roman" w:hAnsi="Times New Roman"/>
                <w:bCs/>
                <w:spacing w:val="-2"/>
              </w:rPr>
              <w:t xml:space="preserve"> postępowań o objęcie refundacją i ustalenie ceny zbytu netto leków</w:t>
            </w:r>
            <w:r w:rsidR="0012032E">
              <w:rPr>
                <w:rFonts w:ascii="Times New Roman" w:hAnsi="Times New Roman"/>
                <w:bCs/>
                <w:spacing w:val="-2"/>
              </w:rPr>
              <w:t>;</w:t>
            </w:r>
          </w:p>
          <w:p w14:paraId="245D9FC7" w14:textId="718DBA2F" w:rsidR="00E61C7A" w:rsidRPr="0095120B" w:rsidRDefault="00E10A43"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19 sekcji</w:t>
            </w:r>
            <w:r w:rsidR="004B4BC7" w:rsidRPr="0095120B">
              <w:rPr>
                <w:rFonts w:ascii="Times New Roman" w:hAnsi="Times New Roman"/>
                <w:bCs/>
                <w:spacing w:val="-2"/>
              </w:rPr>
              <w:t xml:space="preserve"> 1</w:t>
            </w:r>
            <w:r w:rsidR="00E61C7A" w:rsidRPr="0095120B">
              <w:rPr>
                <w:rFonts w:ascii="Times New Roman" w:hAnsi="Times New Roman"/>
                <w:bCs/>
                <w:spacing w:val="-2"/>
              </w:rPr>
              <w:t xml:space="preserve"> OSR proponuje się wprowadzenie m</w:t>
            </w:r>
            <w:r w:rsidR="00FE4B38" w:rsidRPr="0095120B">
              <w:rPr>
                <w:rFonts w:ascii="Times New Roman" w:hAnsi="Times New Roman"/>
                <w:bCs/>
                <w:spacing w:val="-2"/>
              </w:rPr>
              <w:t>ożliwoś</w:t>
            </w:r>
            <w:r w:rsidRPr="0095120B">
              <w:rPr>
                <w:rFonts w:ascii="Times New Roman" w:hAnsi="Times New Roman"/>
                <w:bCs/>
                <w:spacing w:val="-2"/>
              </w:rPr>
              <w:t>ci</w:t>
            </w:r>
            <w:r w:rsidR="00FE4B38" w:rsidRPr="0095120B">
              <w:rPr>
                <w:rFonts w:ascii="Times New Roman" w:hAnsi="Times New Roman"/>
                <w:bCs/>
                <w:spacing w:val="-2"/>
              </w:rPr>
              <w:t xml:space="preserve"> udziału</w:t>
            </w:r>
            <w:r w:rsidR="00E61C7A" w:rsidRPr="0095120B">
              <w:rPr>
                <w:rFonts w:ascii="Times New Roman" w:hAnsi="Times New Roman"/>
                <w:bCs/>
                <w:spacing w:val="-2"/>
              </w:rPr>
              <w:t xml:space="preserve"> przedstawiciela organizacji pacjentów </w:t>
            </w:r>
            <w:r w:rsidR="00FE4B38" w:rsidRPr="0095120B">
              <w:rPr>
                <w:rFonts w:ascii="Times New Roman" w:hAnsi="Times New Roman"/>
                <w:bCs/>
                <w:spacing w:val="-2"/>
              </w:rPr>
              <w:t xml:space="preserve">w </w:t>
            </w:r>
            <w:r w:rsidR="00346CCA">
              <w:rPr>
                <w:rFonts w:ascii="Times New Roman" w:hAnsi="Times New Roman"/>
                <w:bCs/>
                <w:spacing w:val="-2"/>
              </w:rPr>
              <w:t xml:space="preserve">posiedzeniach </w:t>
            </w:r>
            <w:r w:rsidR="00FE4B38" w:rsidRPr="0095120B">
              <w:rPr>
                <w:rFonts w:ascii="Times New Roman" w:hAnsi="Times New Roman"/>
                <w:bCs/>
                <w:spacing w:val="-2"/>
              </w:rPr>
              <w:t>zespoł</w:t>
            </w:r>
            <w:r w:rsidR="00346CCA">
              <w:rPr>
                <w:rFonts w:ascii="Times New Roman" w:hAnsi="Times New Roman"/>
                <w:bCs/>
                <w:spacing w:val="-2"/>
              </w:rPr>
              <w:t>ów</w:t>
            </w:r>
            <w:r w:rsidR="00FE4B38" w:rsidRPr="0095120B">
              <w:rPr>
                <w:rFonts w:ascii="Times New Roman" w:hAnsi="Times New Roman"/>
                <w:bCs/>
                <w:spacing w:val="-2"/>
              </w:rPr>
              <w:t xml:space="preserve"> koordynacyjnych w programach lekowych bez prawa głosu</w:t>
            </w:r>
            <w:r w:rsidR="00E61C7A" w:rsidRPr="0095120B">
              <w:rPr>
                <w:rFonts w:ascii="Times New Roman" w:hAnsi="Times New Roman"/>
                <w:bCs/>
                <w:spacing w:val="-2"/>
              </w:rPr>
              <w:t xml:space="preserve"> oraz</w:t>
            </w:r>
            <w:r w:rsidR="00FE4B38" w:rsidRPr="0095120B">
              <w:rPr>
                <w:rFonts w:ascii="Times New Roman" w:hAnsi="Times New Roman"/>
                <w:bCs/>
                <w:spacing w:val="-2"/>
              </w:rPr>
              <w:t xml:space="preserve"> </w:t>
            </w:r>
            <w:r w:rsidR="007C3755">
              <w:rPr>
                <w:rFonts w:ascii="Times New Roman" w:hAnsi="Times New Roman"/>
                <w:bCs/>
                <w:spacing w:val="-2"/>
              </w:rPr>
              <w:t xml:space="preserve">prawo </w:t>
            </w:r>
            <w:r w:rsidR="00FE4B38" w:rsidRPr="0095120B">
              <w:rPr>
                <w:rFonts w:ascii="Times New Roman" w:hAnsi="Times New Roman"/>
                <w:bCs/>
                <w:spacing w:val="-2"/>
              </w:rPr>
              <w:t xml:space="preserve">udziału w negocjacjach cenowych z Komisją Ekonomiczną po stronie </w:t>
            </w:r>
            <w:r w:rsidR="00785AC3">
              <w:rPr>
                <w:rFonts w:ascii="Times New Roman" w:hAnsi="Times New Roman"/>
                <w:bCs/>
                <w:spacing w:val="-2"/>
              </w:rPr>
              <w:t>wnioskodawcy</w:t>
            </w:r>
            <w:r w:rsidR="00FE4B38" w:rsidRPr="0095120B">
              <w:rPr>
                <w:rFonts w:ascii="Times New Roman" w:hAnsi="Times New Roman"/>
                <w:bCs/>
                <w:spacing w:val="-2"/>
              </w:rPr>
              <w:t xml:space="preserve"> </w:t>
            </w:r>
            <w:r w:rsidR="00346CCA">
              <w:rPr>
                <w:rFonts w:ascii="Times New Roman" w:hAnsi="Times New Roman"/>
                <w:bCs/>
                <w:spacing w:val="-2"/>
              </w:rPr>
              <w:t xml:space="preserve">– </w:t>
            </w:r>
            <w:r w:rsidR="00FE4B38" w:rsidRPr="0095120B">
              <w:rPr>
                <w:rFonts w:ascii="Times New Roman" w:hAnsi="Times New Roman"/>
                <w:bCs/>
                <w:spacing w:val="-2"/>
              </w:rPr>
              <w:t>po uzyskaniu jego zgody</w:t>
            </w:r>
            <w:r w:rsidRPr="0095120B">
              <w:rPr>
                <w:rFonts w:ascii="Times New Roman" w:hAnsi="Times New Roman"/>
                <w:bCs/>
                <w:spacing w:val="-2"/>
              </w:rPr>
              <w:t>;</w:t>
            </w:r>
          </w:p>
          <w:p w14:paraId="74FF9530" w14:textId="205F096E" w:rsidR="00E61C7A" w:rsidRPr="0095120B" w:rsidRDefault="00E10A43"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20 w sekcji 1 OSR proponuje się w</w:t>
            </w:r>
            <w:r w:rsidR="00FE4B38" w:rsidRPr="0095120B">
              <w:rPr>
                <w:rFonts w:ascii="Times New Roman" w:hAnsi="Times New Roman"/>
                <w:bCs/>
                <w:spacing w:val="-2"/>
              </w:rPr>
              <w:t xml:space="preserve">prowadzenie zmian </w:t>
            </w:r>
            <w:r w:rsidR="004C4D4C">
              <w:rPr>
                <w:rFonts w:ascii="Times New Roman" w:hAnsi="Times New Roman"/>
                <w:bCs/>
                <w:spacing w:val="-2"/>
              </w:rPr>
              <w:t xml:space="preserve">w ustawie refundacyjnej </w:t>
            </w:r>
            <w:r w:rsidR="00FE4B38" w:rsidRPr="0095120B">
              <w:rPr>
                <w:rFonts w:ascii="Times New Roman" w:hAnsi="Times New Roman"/>
                <w:bCs/>
                <w:spacing w:val="-2"/>
              </w:rPr>
              <w:t>w zakresie funkcjonowania Komisji Ekonomicznej</w:t>
            </w:r>
            <w:r w:rsidR="0012032E">
              <w:rPr>
                <w:rFonts w:ascii="Times New Roman" w:hAnsi="Times New Roman"/>
                <w:bCs/>
                <w:spacing w:val="-2"/>
              </w:rPr>
              <w:t>,</w:t>
            </w:r>
            <w:r w:rsidR="00E61C7A" w:rsidRPr="0095120B">
              <w:rPr>
                <w:rFonts w:ascii="Times New Roman" w:hAnsi="Times New Roman"/>
                <w:bCs/>
                <w:spacing w:val="-2"/>
              </w:rPr>
              <w:t xml:space="preserve"> polegających na </w:t>
            </w:r>
            <w:r w:rsidR="005F6F8E">
              <w:rPr>
                <w:rFonts w:ascii="Times New Roman" w:hAnsi="Times New Roman"/>
                <w:bCs/>
                <w:spacing w:val="-2"/>
              </w:rPr>
              <w:t xml:space="preserve">potwierdzaniu posiadanej wiedzy </w:t>
            </w:r>
            <w:r w:rsidR="00E61C7A" w:rsidRPr="0095120B">
              <w:rPr>
                <w:rFonts w:ascii="Times New Roman" w:hAnsi="Times New Roman"/>
                <w:bCs/>
                <w:spacing w:val="-2"/>
              </w:rPr>
              <w:t>członków K</w:t>
            </w:r>
            <w:r w:rsidRPr="0095120B">
              <w:rPr>
                <w:rFonts w:ascii="Times New Roman" w:hAnsi="Times New Roman"/>
                <w:bCs/>
                <w:spacing w:val="-2"/>
              </w:rPr>
              <w:t xml:space="preserve">omisji </w:t>
            </w:r>
            <w:r w:rsidR="00E61C7A" w:rsidRPr="0095120B">
              <w:rPr>
                <w:rFonts w:ascii="Times New Roman" w:hAnsi="Times New Roman"/>
                <w:bCs/>
                <w:spacing w:val="-2"/>
              </w:rPr>
              <w:t>E</w:t>
            </w:r>
            <w:r w:rsidRPr="0095120B">
              <w:rPr>
                <w:rFonts w:ascii="Times New Roman" w:hAnsi="Times New Roman"/>
                <w:bCs/>
                <w:spacing w:val="-2"/>
              </w:rPr>
              <w:t>konomicznej</w:t>
            </w:r>
            <w:r w:rsidR="00E61C7A" w:rsidRPr="0095120B">
              <w:rPr>
                <w:rFonts w:ascii="Times New Roman" w:hAnsi="Times New Roman"/>
                <w:bCs/>
                <w:spacing w:val="-2"/>
              </w:rPr>
              <w:t xml:space="preserve"> przez </w:t>
            </w:r>
            <w:r w:rsidR="00346CCA">
              <w:rPr>
                <w:rFonts w:ascii="Times New Roman" w:hAnsi="Times New Roman"/>
                <w:bCs/>
                <w:spacing w:val="-2"/>
              </w:rPr>
              <w:t xml:space="preserve">wprowadzenie wymogu </w:t>
            </w:r>
            <w:r w:rsidR="00E61C7A" w:rsidRPr="0095120B">
              <w:rPr>
                <w:rFonts w:ascii="Times New Roman" w:hAnsi="Times New Roman"/>
                <w:bCs/>
                <w:spacing w:val="-2"/>
              </w:rPr>
              <w:t>przedstawi</w:t>
            </w:r>
            <w:r w:rsidR="00346CCA">
              <w:rPr>
                <w:rFonts w:ascii="Times New Roman" w:hAnsi="Times New Roman"/>
                <w:bCs/>
                <w:spacing w:val="-2"/>
              </w:rPr>
              <w:t>a</w:t>
            </w:r>
            <w:r w:rsidR="00E61C7A" w:rsidRPr="0095120B">
              <w:rPr>
                <w:rFonts w:ascii="Times New Roman" w:hAnsi="Times New Roman"/>
                <w:bCs/>
                <w:spacing w:val="-2"/>
              </w:rPr>
              <w:t>ni</w:t>
            </w:r>
            <w:r w:rsidR="00346CCA">
              <w:rPr>
                <w:rFonts w:ascii="Times New Roman" w:hAnsi="Times New Roman"/>
                <w:bCs/>
                <w:spacing w:val="-2"/>
              </w:rPr>
              <w:t>a</w:t>
            </w:r>
            <w:r w:rsidR="00E61C7A" w:rsidRPr="0095120B">
              <w:rPr>
                <w:rFonts w:ascii="Times New Roman" w:hAnsi="Times New Roman"/>
                <w:bCs/>
                <w:spacing w:val="-2"/>
              </w:rPr>
              <w:t xml:space="preserve"> dokumentów </w:t>
            </w:r>
            <w:r w:rsidR="00722023">
              <w:rPr>
                <w:rFonts w:ascii="Times New Roman" w:hAnsi="Times New Roman"/>
                <w:bCs/>
                <w:spacing w:val="-2"/>
              </w:rPr>
              <w:t>poświadczających</w:t>
            </w:r>
            <w:r w:rsidR="00722023" w:rsidRPr="0095120B">
              <w:rPr>
                <w:rFonts w:ascii="Times New Roman" w:hAnsi="Times New Roman"/>
                <w:bCs/>
                <w:spacing w:val="-2"/>
              </w:rPr>
              <w:t xml:space="preserve"> </w:t>
            </w:r>
            <w:r w:rsidR="00E61C7A" w:rsidRPr="0095120B">
              <w:rPr>
                <w:rFonts w:ascii="Times New Roman" w:hAnsi="Times New Roman"/>
                <w:bCs/>
                <w:spacing w:val="-2"/>
              </w:rPr>
              <w:t xml:space="preserve">ukończenie </w:t>
            </w:r>
            <w:r w:rsidR="00310DE7" w:rsidRPr="0095120B">
              <w:rPr>
                <w:rFonts w:ascii="Times New Roman" w:hAnsi="Times New Roman"/>
                <w:spacing w:val="-2"/>
              </w:rPr>
              <w:t xml:space="preserve">określonych kierunków studiów </w:t>
            </w:r>
            <w:r w:rsidR="00310DE7">
              <w:rPr>
                <w:rFonts w:ascii="Times New Roman" w:hAnsi="Times New Roman"/>
                <w:spacing w:val="-2"/>
              </w:rPr>
              <w:t xml:space="preserve">lub </w:t>
            </w:r>
            <w:r w:rsidR="00E61C7A" w:rsidRPr="0095120B">
              <w:rPr>
                <w:rFonts w:ascii="Times New Roman" w:hAnsi="Times New Roman"/>
                <w:bCs/>
                <w:spacing w:val="-2"/>
              </w:rPr>
              <w:t xml:space="preserve"> kursów</w:t>
            </w:r>
            <w:r w:rsidR="0086270E">
              <w:rPr>
                <w:rFonts w:ascii="Times New Roman" w:hAnsi="Times New Roman"/>
                <w:bCs/>
                <w:spacing w:val="-2"/>
              </w:rPr>
              <w:t xml:space="preserve"> z zakresu </w:t>
            </w:r>
            <w:r w:rsidR="0086270E" w:rsidRPr="0086270E">
              <w:rPr>
                <w:rFonts w:ascii="Times New Roman" w:hAnsi="Times New Roman"/>
                <w:bCs/>
                <w:spacing w:val="-2"/>
              </w:rPr>
              <w:t xml:space="preserve">oceny technologii medycznych, medycyny opartej na dowodach naukowych (faktach) </w:t>
            </w:r>
            <w:r w:rsidR="0086270E">
              <w:rPr>
                <w:rFonts w:ascii="Times New Roman" w:hAnsi="Times New Roman"/>
                <w:bCs/>
                <w:spacing w:val="-2"/>
              </w:rPr>
              <w:t xml:space="preserve">oraz </w:t>
            </w:r>
            <w:r w:rsidR="0086270E" w:rsidRPr="0086270E">
              <w:rPr>
                <w:rFonts w:ascii="Times New Roman" w:hAnsi="Times New Roman"/>
                <w:bCs/>
                <w:spacing w:val="-2"/>
              </w:rPr>
              <w:t>ustalania cen leków</w:t>
            </w:r>
            <w:r w:rsidR="00E61C7A" w:rsidRPr="0095120B">
              <w:rPr>
                <w:rFonts w:ascii="Times New Roman" w:hAnsi="Times New Roman"/>
                <w:bCs/>
                <w:spacing w:val="-2"/>
              </w:rPr>
              <w:t xml:space="preserve">, </w:t>
            </w:r>
            <w:r w:rsidR="00310DE7">
              <w:rPr>
                <w:rFonts w:ascii="Times New Roman" w:hAnsi="Times New Roman"/>
                <w:bCs/>
                <w:spacing w:val="-2"/>
              </w:rPr>
              <w:t xml:space="preserve">a także </w:t>
            </w:r>
            <w:r w:rsidR="00722023">
              <w:rPr>
                <w:rFonts w:ascii="Times New Roman" w:hAnsi="Times New Roman"/>
                <w:bCs/>
                <w:spacing w:val="-2"/>
              </w:rPr>
              <w:t>w</w:t>
            </w:r>
            <w:r w:rsidR="00310DE7">
              <w:rPr>
                <w:rFonts w:ascii="Times New Roman" w:hAnsi="Times New Roman"/>
                <w:bCs/>
                <w:spacing w:val="-2"/>
              </w:rPr>
              <w:t xml:space="preserve">prowadzenie </w:t>
            </w:r>
            <w:r w:rsidR="00E61C7A" w:rsidRPr="0095120B">
              <w:rPr>
                <w:rFonts w:ascii="Times New Roman" w:hAnsi="Times New Roman"/>
                <w:bCs/>
                <w:spacing w:val="-2"/>
              </w:rPr>
              <w:t>kadencyjności Komisji Ekonomicznej. Dodatkowo proponuje się wprowadzenie</w:t>
            </w:r>
            <w:r w:rsidR="00FE4B38" w:rsidRPr="0095120B">
              <w:rPr>
                <w:rFonts w:ascii="Times New Roman" w:hAnsi="Times New Roman"/>
                <w:bCs/>
                <w:spacing w:val="-2"/>
              </w:rPr>
              <w:t xml:space="preserve"> maksymalnej liczby przedstawicieli wnioskodawc</w:t>
            </w:r>
            <w:r w:rsidR="00BC7A47" w:rsidRPr="0095120B">
              <w:rPr>
                <w:rFonts w:ascii="Times New Roman" w:hAnsi="Times New Roman"/>
                <w:bCs/>
                <w:spacing w:val="-2"/>
              </w:rPr>
              <w:t>y</w:t>
            </w:r>
            <w:r w:rsidR="00E61C7A" w:rsidRPr="0095120B">
              <w:rPr>
                <w:rFonts w:ascii="Times New Roman" w:hAnsi="Times New Roman"/>
                <w:bCs/>
                <w:spacing w:val="-2"/>
              </w:rPr>
              <w:t xml:space="preserve"> </w:t>
            </w:r>
            <w:r w:rsidR="00346CCA">
              <w:rPr>
                <w:rFonts w:ascii="Times New Roman" w:hAnsi="Times New Roman"/>
                <w:bCs/>
                <w:spacing w:val="-2"/>
              </w:rPr>
              <w:t xml:space="preserve">w procesach negocjacyjnych </w:t>
            </w:r>
            <w:r w:rsidR="00E61C7A" w:rsidRPr="0095120B">
              <w:rPr>
                <w:rFonts w:ascii="Times New Roman" w:hAnsi="Times New Roman"/>
                <w:bCs/>
                <w:spacing w:val="-2"/>
              </w:rPr>
              <w:t xml:space="preserve">w liczbie 4 oraz </w:t>
            </w:r>
            <w:r w:rsidR="00FE4B38" w:rsidRPr="0095120B">
              <w:rPr>
                <w:rFonts w:ascii="Times New Roman" w:hAnsi="Times New Roman"/>
                <w:bCs/>
                <w:spacing w:val="-2"/>
              </w:rPr>
              <w:t>1</w:t>
            </w:r>
            <w:r w:rsidR="00E61C7A" w:rsidRPr="0095120B">
              <w:rPr>
                <w:rFonts w:ascii="Times New Roman" w:hAnsi="Times New Roman"/>
                <w:bCs/>
                <w:spacing w:val="-2"/>
              </w:rPr>
              <w:t xml:space="preserve"> dodatkowego</w:t>
            </w:r>
            <w:r w:rsidR="00FE4B38" w:rsidRPr="0095120B">
              <w:rPr>
                <w:rFonts w:ascii="Times New Roman" w:hAnsi="Times New Roman"/>
                <w:bCs/>
                <w:spacing w:val="-2"/>
              </w:rPr>
              <w:t xml:space="preserve"> przedstawiciel</w:t>
            </w:r>
            <w:r w:rsidR="00E61C7A" w:rsidRPr="0095120B">
              <w:rPr>
                <w:rFonts w:ascii="Times New Roman" w:hAnsi="Times New Roman"/>
                <w:bCs/>
                <w:spacing w:val="-2"/>
              </w:rPr>
              <w:t>a</w:t>
            </w:r>
            <w:r w:rsidR="00FE4B38" w:rsidRPr="0095120B">
              <w:rPr>
                <w:rFonts w:ascii="Times New Roman" w:hAnsi="Times New Roman"/>
                <w:bCs/>
                <w:spacing w:val="-2"/>
              </w:rPr>
              <w:t xml:space="preserve"> organizacji pacjentów</w:t>
            </w:r>
            <w:r w:rsidR="00E61C7A" w:rsidRPr="0095120B">
              <w:rPr>
                <w:rFonts w:ascii="Times New Roman" w:hAnsi="Times New Roman"/>
                <w:bCs/>
                <w:spacing w:val="-2"/>
              </w:rPr>
              <w:t xml:space="preserve">. Natomiast w zespołach negocjacyjnych Komisji Ekonomicznej proponuje się zniesienie obligatoryjnej obecności przedstawiciela NFZ w każdym Zespole. Komisja Ekonomiczna uzyskałaby też prawo negocjowania wielkości dostaw zaproponowanych przez </w:t>
            </w:r>
            <w:r w:rsidRPr="0095120B">
              <w:rPr>
                <w:rFonts w:ascii="Times New Roman" w:hAnsi="Times New Roman"/>
                <w:bCs/>
                <w:spacing w:val="-2"/>
              </w:rPr>
              <w:t>w</w:t>
            </w:r>
            <w:r w:rsidR="00E61C7A" w:rsidRPr="0095120B">
              <w:rPr>
                <w:rFonts w:ascii="Times New Roman" w:hAnsi="Times New Roman"/>
                <w:bCs/>
                <w:spacing w:val="-2"/>
              </w:rPr>
              <w:t>nioskodawcę</w:t>
            </w:r>
            <w:r w:rsidRPr="0095120B">
              <w:rPr>
                <w:rFonts w:ascii="Times New Roman" w:hAnsi="Times New Roman"/>
                <w:bCs/>
                <w:spacing w:val="-2"/>
              </w:rPr>
              <w:t>;</w:t>
            </w:r>
          </w:p>
          <w:p w14:paraId="3C251111" w14:textId="6F827D01" w:rsidR="00FE4B38" w:rsidRDefault="00E10A43"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21 sekcji </w:t>
            </w:r>
            <w:r w:rsidR="004B4BC7" w:rsidRPr="0095120B">
              <w:rPr>
                <w:rFonts w:ascii="Times New Roman" w:hAnsi="Times New Roman"/>
                <w:bCs/>
                <w:spacing w:val="-2"/>
              </w:rPr>
              <w:t xml:space="preserve">1 </w:t>
            </w:r>
            <w:r w:rsidR="00E61C7A" w:rsidRPr="0095120B">
              <w:rPr>
                <w:rFonts w:ascii="Times New Roman" w:hAnsi="Times New Roman"/>
                <w:bCs/>
                <w:spacing w:val="-2"/>
              </w:rPr>
              <w:t>OSR proponuje się d</w:t>
            </w:r>
            <w:r w:rsidR="00FE4B38" w:rsidRPr="0095120B">
              <w:rPr>
                <w:rFonts w:ascii="Times New Roman" w:hAnsi="Times New Roman"/>
                <w:bCs/>
                <w:spacing w:val="-2"/>
              </w:rPr>
              <w:t xml:space="preserve">odanie </w:t>
            </w:r>
            <w:r w:rsidR="0086270E">
              <w:rPr>
                <w:rFonts w:ascii="Times New Roman" w:hAnsi="Times New Roman"/>
                <w:bCs/>
                <w:spacing w:val="-2"/>
              </w:rPr>
              <w:t xml:space="preserve">w ustawie refundacyjnej </w:t>
            </w:r>
            <w:r w:rsidR="000B7160">
              <w:rPr>
                <w:rFonts w:ascii="Times New Roman" w:hAnsi="Times New Roman"/>
                <w:bCs/>
                <w:spacing w:val="-2"/>
              </w:rPr>
              <w:t xml:space="preserve">przepisów </w:t>
            </w:r>
            <w:r w:rsidR="00FE4B38" w:rsidRPr="0095120B">
              <w:rPr>
                <w:rFonts w:ascii="Times New Roman" w:hAnsi="Times New Roman"/>
                <w:bCs/>
                <w:spacing w:val="-2"/>
              </w:rPr>
              <w:t xml:space="preserve">skutkujących koniecznością zapewnienia przez </w:t>
            </w:r>
            <w:r w:rsidRPr="0095120B">
              <w:rPr>
                <w:rFonts w:ascii="Times New Roman" w:hAnsi="Times New Roman"/>
                <w:bCs/>
                <w:spacing w:val="-2"/>
              </w:rPr>
              <w:t>w</w:t>
            </w:r>
            <w:r w:rsidR="00FE4B38" w:rsidRPr="0095120B">
              <w:rPr>
                <w:rFonts w:ascii="Times New Roman" w:hAnsi="Times New Roman"/>
                <w:bCs/>
                <w:spacing w:val="-2"/>
              </w:rPr>
              <w:t xml:space="preserve">nioskodawców dostępności dla pacjentów </w:t>
            </w:r>
            <w:r w:rsidR="000B7160">
              <w:rPr>
                <w:rFonts w:ascii="Times New Roman" w:hAnsi="Times New Roman"/>
                <w:bCs/>
                <w:spacing w:val="-2"/>
              </w:rPr>
              <w:t xml:space="preserve">w zakresie </w:t>
            </w:r>
            <w:r w:rsidR="00FE4B38" w:rsidRPr="0095120B">
              <w:rPr>
                <w:rFonts w:ascii="Times New Roman" w:hAnsi="Times New Roman"/>
                <w:bCs/>
                <w:spacing w:val="-2"/>
              </w:rPr>
              <w:t>terapii lekowych w</w:t>
            </w:r>
            <w:r w:rsidR="00DE6C01" w:rsidRPr="0095120B">
              <w:rPr>
                <w:rFonts w:ascii="Times New Roman" w:hAnsi="Times New Roman"/>
                <w:bCs/>
                <w:spacing w:val="-2"/>
              </w:rPr>
              <w:t> </w:t>
            </w:r>
            <w:r w:rsidR="00FE4B38" w:rsidRPr="0095120B">
              <w:rPr>
                <w:rFonts w:ascii="Times New Roman" w:hAnsi="Times New Roman"/>
                <w:bCs/>
                <w:spacing w:val="-2"/>
              </w:rPr>
              <w:t>ramach nowych programów lekowych od pierwszego dnia obowiązywania decyzji</w:t>
            </w:r>
            <w:r w:rsidR="000B7160">
              <w:rPr>
                <w:rFonts w:ascii="Times New Roman" w:hAnsi="Times New Roman"/>
                <w:bCs/>
                <w:spacing w:val="-2"/>
              </w:rPr>
              <w:t>,</w:t>
            </w:r>
            <w:r w:rsidR="00FE4B38" w:rsidRPr="0095120B">
              <w:rPr>
                <w:rFonts w:ascii="Times New Roman" w:hAnsi="Times New Roman"/>
                <w:bCs/>
                <w:spacing w:val="-2"/>
              </w:rPr>
              <w:t xml:space="preserve"> z zapewnieniem mechanizmu finansowo-rozliczeniowego do czasu zakontraktowania realizacji danego programu przez </w:t>
            </w:r>
            <w:r w:rsidR="00DE6C01" w:rsidRPr="0095120B">
              <w:rPr>
                <w:rFonts w:ascii="Times New Roman" w:hAnsi="Times New Roman"/>
                <w:bCs/>
                <w:spacing w:val="-2"/>
              </w:rPr>
              <w:t>NFZ</w:t>
            </w:r>
            <w:r w:rsidR="00E61C7A" w:rsidRPr="0095120B">
              <w:rPr>
                <w:rFonts w:ascii="Times New Roman" w:hAnsi="Times New Roman"/>
                <w:bCs/>
                <w:spacing w:val="-2"/>
              </w:rPr>
              <w:t xml:space="preserve"> w ramach instrumentów dzielenia ryzyka</w:t>
            </w:r>
            <w:r w:rsidR="007C1271">
              <w:rPr>
                <w:rFonts w:ascii="Times New Roman" w:hAnsi="Times New Roman"/>
                <w:bCs/>
                <w:spacing w:val="-2"/>
              </w:rPr>
              <w:t xml:space="preserve"> oraz mechanizmów kwalifikacji pacjentów do takiego programu</w:t>
            </w:r>
            <w:r w:rsidRPr="0095120B">
              <w:rPr>
                <w:rFonts w:ascii="Times New Roman" w:hAnsi="Times New Roman"/>
                <w:bCs/>
                <w:spacing w:val="-2"/>
              </w:rPr>
              <w:t>;</w:t>
            </w:r>
          </w:p>
          <w:p w14:paraId="3B8B8489" w14:textId="78F9740F" w:rsidR="00A70116" w:rsidRPr="00AB7441" w:rsidRDefault="00A70116" w:rsidP="00AB7441">
            <w:pPr>
              <w:pStyle w:val="Akapitzlist"/>
              <w:numPr>
                <w:ilvl w:val="0"/>
                <w:numId w:val="37"/>
              </w:numPr>
              <w:rPr>
                <w:rFonts w:ascii="Times New Roman" w:hAnsi="Times New Roman"/>
                <w:bCs/>
                <w:spacing w:val="-2"/>
              </w:rPr>
            </w:pPr>
            <w:r w:rsidRPr="00A70116">
              <w:rPr>
                <w:rFonts w:ascii="Times New Roman" w:hAnsi="Times New Roman"/>
                <w:bCs/>
                <w:spacing w:val="-2"/>
              </w:rPr>
              <w:t>w związku z problemem wskazanym w pkt 2</w:t>
            </w:r>
            <w:r w:rsidR="0078160D">
              <w:rPr>
                <w:rFonts w:ascii="Times New Roman" w:hAnsi="Times New Roman"/>
                <w:bCs/>
                <w:spacing w:val="-2"/>
              </w:rPr>
              <w:t>2</w:t>
            </w:r>
            <w:r w:rsidRPr="00A70116">
              <w:rPr>
                <w:rFonts w:ascii="Times New Roman" w:hAnsi="Times New Roman"/>
                <w:bCs/>
                <w:spacing w:val="-2"/>
              </w:rPr>
              <w:t xml:space="preserve"> sekcji 1 OSR proponuje się </w:t>
            </w:r>
            <w:r w:rsidR="00722023">
              <w:rPr>
                <w:rFonts w:ascii="Times New Roman" w:hAnsi="Times New Roman"/>
                <w:bCs/>
                <w:spacing w:val="-2"/>
              </w:rPr>
              <w:t xml:space="preserve">uregulowanie </w:t>
            </w:r>
            <w:r w:rsidR="007C1271">
              <w:rPr>
                <w:rFonts w:ascii="Times New Roman" w:hAnsi="Times New Roman"/>
                <w:bCs/>
                <w:spacing w:val="-2"/>
              </w:rPr>
              <w:t>obowiązk</w:t>
            </w:r>
            <w:r w:rsidR="00722023">
              <w:rPr>
                <w:rFonts w:ascii="Times New Roman" w:hAnsi="Times New Roman"/>
                <w:bCs/>
                <w:spacing w:val="-2"/>
              </w:rPr>
              <w:t>u</w:t>
            </w:r>
            <w:r w:rsidR="007C1271">
              <w:rPr>
                <w:rFonts w:ascii="Times New Roman" w:hAnsi="Times New Roman"/>
                <w:bCs/>
                <w:spacing w:val="-2"/>
              </w:rPr>
              <w:t xml:space="preserve"> </w:t>
            </w:r>
            <w:r w:rsidR="005633E6">
              <w:rPr>
                <w:rFonts w:ascii="Times New Roman" w:hAnsi="Times New Roman"/>
                <w:bCs/>
                <w:spacing w:val="-2"/>
              </w:rPr>
              <w:t>M</w:t>
            </w:r>
            <w:r w:rsidR="007C1271">
              <w:rPr>
                <w:rFonts w:ascii="Times New Roman" w:hAnsi="Times New Roman"/>
                <w:bCs/>
                <w:spacing w:val="-2"/>
              </w:rPr>
              <w:t xml:space="preserve">inistra </w:t>
            </w:r>
            <w:r w:rsidR="005633E6">
              <w:rPr>
                <w:rFonts w:ascii="Times New Roman" w:hAnsi="Times New Roman"/>
                <w:bCs/>
                <w:spacing w:val="-2"/>
              </w:rPr>
              <w:t>Z</w:t>
            </w:r>
            <w:r w:rsidR="007C1271">
              <w:rPr>
                <w:rFonts w:ascii="Times New Roman" w:hAnsi="Times New Roman"/>
                <w:bCs/>
                <w:spacing w:val="-2"/>
              </w:rPr>
              <w:t xml:space="preserve">drowia </w:t>
            </w:r>
            <w:r w:rsidR="005633E6">
              <w:rPr>
                <w:rFonts w:ascii="Times New Roman" w:hAnsi="Times New Roman"/>
                <w:bCs/>
                <w:spacing w:val="-2"/>
              </w:rPr>
              <w:t xml:space="preserve">w zakresie dokonywania </w:t>
            </w:r>
            <w:r w:rsidR="007C1271">
              <w:rPr>
                <w:rFonts w:ascii="Times New Roman" w:hAnsi="Times New Roman"/>
                <w:bCs/>
                <w:spacing w:val="-2"/>
              </w:rPr>
              <w:t xml:space="preserve">przeglądu wykazu, o którym mowa w art. 38 ustawy refundacyjnej, a w </w:t>
            </w:r>
            <w:r w:rsidR="007C1271" w:rsidRPr="007C1271">
              <w:rPr>
                <w:rFonts w:ascii="Times New Roman" w:hAnsi="Times New Roman"/>
                <w:bCs/>
                <w:spacing w:val="-2"/>
              </w:rPr>
              <w:t>przypadku stwierdzenia konieczności aktualizacji tego wykazu</w:t>
            </w:r>
            <w:r w:rsidR="00AF45A3">
              <w:rPr>
                <w:rFonts w:ascii="Times New Roman" w:hAnsi="Times New Roman"/>
                <w:bCs/>
                <w:spacing w:val="-2"/>
              </w:rPr>
              <w:t>,</w:t>
            </w:r>
            <w:r w:rsidR="007C1271" w:rsidRPr="007C1271">
              <w:rPr>
                <w:rFonts w:ascii="Times New Roman" w:hAnsi="Times New Roman"/>
                <w:bCs/>
                <w:spacing w:val="-2"/>
              </w:rPr>
              <w:t xml:space="preserve"> </w:t>
            </w:r>
            <w:r w:rsidR="00722023">
              <w:rPr>
                <w:rFonts w:ascii="Times New Roman" w:hAnsi="Times New Roman"/>
                <w:bCs/>
                <w:spacing w:val="-2"/>
              </w:rPr>
              <w:t>znowelizowania</w:t>
            </w:r>
            <w:r w:rsidR="007C1271" w:rsidRPr="007C1271">
              <w:rPr>
                <w:rFonts w:ascii="Times New Roman" w:hAnsi="Times New Roman"/>
                <w:bCs/>
                <w:spacing w:val="-2"/>
              </w:rPr>
              <w:t xml:space="preserve"> rozporządzeni</w:t>
            </w:r>
            <w:r w:rsidR="007C1271">
              <w:rPr>
                <w:rFonts w:ascii="Times New Roman" w:hAnsi="Times New Roman"/>
                <w:bCs/>
                <w:spacing w:val="-2"/>
              </w:rPr>
              <w:t>a.</w:t>
            </w:r>
            <w:r w:rsidR="007C1271" w:rsidRPr="007C1271">
              <w:rPr>
                <w:rFonts w:ascii="Times New Roman" w:hAnsi="Times New Roman"/>
                <w:bCs/>
                <w:spacing w:val="-2"/>
              </w:rPr>
              <w:t xml:space="preserve"> </w:t>
            </w:r>
            <w:r w:rsidRPr="00A70116">
              <w:rPr>
                <w:rFonts w:ascii="Times New Roman" w:hAnsi="Times New Roman"/>
                <w:bCs/>
                <w:spacing w:val="-2"/>
              </w:rPr>
              <w:t xml:space="preserve">Dodatkowo przewiduje się wprowadzenie zmian ułatwiających odbiór </w:t>
            </w:r>
            <w:r>
              <w:rPr>
                <w:rFonts w:ascii="Times New Roman" w:hAnsi="Times New Roman"/>
                <w:bCs/>
                <w:spacing w:val="-2"/>
              </w:rPr>
              <w:t xml:space="preserve">przez pacjenta </w:t>
            </w:r>
            <w:r w:rsidRPr="00A70116">
              <w:rPr>
                <w:rFonts w:ascii="Times New Roman" w:hAnsi="Times New Roman"/>
                <w:bCs/>
                <w:spacing w:val="-2"/>
              </w:rPr>
              <w:t>samego wyrobu medyczneg</w:t>
            </w:r>
            <w:r>
              <w:rPr>
                <w:rFonts w:ascii="Times New Roman" w:hAnsi="Times New Roman"/>
                <w:bCs/>
                <w:spacing w:val="-2"/>
              </w:rPr>
              <w:t>o na zlecenie</w:t>
            </w:r>
            <w:r w:rsidR="00AF45A3">
              <w:rPr>
                <w:rFonts w:ascii="Times New Roman" w:hAnsi="Times New Roman"/>
                <w:bCs/>
                <w:spacing w:val="-2"/>
              </w:rPr>
              <w:t>,</w:t>
            </w:r>
            <w:r>
              <w:rPr>
                <w:rFonts w:ascii="Times New Roman" w:hAnsi="Times New Roman"/>
                <w:bCs/>
                <w:spacing w:val="-2"/>
              </w:rPr>
              <w:t xml:space="preserve"> </w:t>
            </w:r>
            <w:r w:rsidR="00AF45A3">
              <w:rPr>
                <w:rFonts w:ascii="Times New Roman" w:hAnsi="Times New Roman"/>
                <w:bCs/>
                <w:spacing w:val="-2"/>
              </w:rPr>
              <w:t>likwidując</w:t>
            </w:r>
            <w:r>
              <w:rPr>
                <w:rFonts w:ascii="Times New Roman" w:hAnsi="Times New Roman"/>
                <w:bCs/>
                <w:spacing w:val="-2"/>
              </w:rPr>
              <w:t xml:space="preserve"> wymóg formalny polegający na podaniu </w:t>
            </w:r>
            <w:r w:rsidRPr="00A70116">
              <w:rPr>
                <w:rFonts w:ascii="Times New Roman" w:hAnsi="Times New Roman"/>
                <w:bCs/>
                <w:spacing w:val="-2"/>
              </w:rPr>
              <w:t>numer</w:t>
            </w:r>
            <w:r>
              <w:rPr>
                <w:rFonts w:ascii="Times New Roman" w:hAnsi="Times New Roman"/>
                <w:bCs/>
                <w:spacing w:val="-2"/>
              </w:rPr>
              <w:t>u</w:t>
            </w:r>
            <w:r w:rsidRPr="00A70116">
              <w:rPr>
                <w:rFonts w:ascii="Times New Roman" w:hAnsi="Times New Roman"/>
                <w:bCs/>
                <w:spacing w:val="-2"/>
              </w:rPr>
              <w:t xml:space="preserve"> PESEL, a w przypadku jego braku </w:t>
            </w:r>
            <w:r w:rsidR="00722023" w:rsidRPr="00722023">
              <w:rPr>
                <w:rFonts w:ascii="Times New Roman" w:hAnsi="Times New Roman"/>
                <w:bCs/>
                <w:spacing w:val="-2"/>
              </w:rPr>
              <w:t>–</w:t>
            </w:r>
            <w:r w:rsidR="00722023">
              <w:rPr>
                <w:rFonts w:ascii="Times New Roman" w:hAnsi="Times New Roman"/>
                <w:bCs/>
                <w:spacing w:val="-2"/>
              </w:rPr>
              <w:t xml:space="preserve"> </w:t>
            </w:r>
            <w:r w:rsidRPr="00A70116">
              <w:rPr>
                <w:rFonts w:ascii="Times New Roman" w:hAnsi="Times New Roman"/>
                <w:bCs/>
                <w:spacing w:val="-2"/>
              </w:rPr>
              <w:t>seri</w:t>
            </w:r>
            <w:r w:rsidR="00AF45A3">
              <w:rPr>
                <w:rFonts w:ascii="Times New Roman" w:hAnsi="Times New Roman"/>
                <w:bCs/>
                <w:spacing w:val="-2"/>
              </w:rPr>
              <w:t>i</w:t>
            </w:r>
            <w:r w:rsidRPr="00A70116">
              <w:rPr>
                <w:rFonts w:ascii="Times New Roman" w:hAnsi="Times New Roman"/>
                <w:bCs/>
                <w:spacing w:val="-2"/>
              </w:rPr>
              <w:t xml:space="preserve"> i numer</w:t>
            </w:r>
            <w:r w:rsidR="00AF45A3">
              <w:rPr>
                <w:rFonts w:ascii="Times New Roman" w:hAnsi="Times New Roman"/>
                <w:bCs/>
                <w:spacing w:val="-2"/>
              </w:rPr>
              <w:t>u</w:t>
            </w:r>
            <w:r w:rsidRPr="00A70116">
              <w:rPr>
                <w:rFonts w:ascii="Times New Roman" w:hAnsi="Times New Roman"/>
                <w:bCs/>
                <w:spacing w:val="-2"/>
              </w:rPr>
              <w:t xml:space="preserve"> paszportu albo numer</w:t>
            </w:r>
            <w:r w:rsidR="00AF45A3">
              <w:rPr>
                <w:rFonts w:ascii="Times New Roman" w:hAnsi="Times New Roman"/>
                <w:bCs/>
                <w:spacing w:val="-2"/>
              </w:rPr>
              <w:t>u</w:t>
            </w:r>
            <w:r w:rsidRPr="00A70116">
              <w:rPr>
                <w:rFonts w:ascii="Times New Roman" w:hAnsi="Times New Roman"/>
                <w:bCs/>
                <w:spacing w:val="-2"/>
              </w:rPr>
              <w:t xml:space="preserve"> innego dokumentu stwierdzającego tożsamość;</w:t>
            </w:r>
          </w:p>
          <w:p w14:paraId="61BC9EDA" w14:textId="10840873" w:rsidR="00E61C7A" w:rsidRPr="0095120B" w:rsidRDefault="00D65010" w:rsidP="004663A3">
            <w:pPr>
              <w:numPr>
                <w:ilvl w:val="0"/>
                <w:numId w:val="37"/>
              </w:numPr>
              <w:spacing w:line="240" w:lineRule="auto"/>
              <w:jc w:val="both"/>
              <w:rPr>
                <w:rFonts w:ascii="Times New Roman" w:hAnsi="Times New Roman"/>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23 w sekcji 1 OSR proponuje się </w:t>
            </w:r>
            <w:r w:rsidR="00E61C7A" w:rsidRPr="0095120B">
              <w:rPr>
                <w:rFonts w:ascii="Times New Roman" w:hAnsi="Times New Roman"/>
                <w:spacing w:val="-2"/>
              </w:rPr>
              <w:t>w</w:t>
            </w:r>
            <w:r w:rsidR="00FE4B38" w:rsidRPr="0095120B">
              <w:rPr>
                <w:rFonts w:ascii="Times New Roman" w:hAnsi="Times New Roman"/>
                <w:spacing w:val="-2"/>
              </w:rPr>
              <w:t xml:space="preserve">prowadzenie </w:t>
            </w:r>
            <w:r w:rsidR="00DE76C0" w:rsidRPr="00DE76C0">
              <w:rPr>
                <w:rFonts w:ascii="Times New Roman" w:hAnsi="Times New Roman"/>
                <w:spacing w:val="-2"/>
              </w:rPr>
              <w:t>w ustawie z dnia 28 kwietnia 2011 r. o systemie informacji w ochronie zdrowia (Dz. U. z 202</w:t>
            </w:r>
            <w:r w:rsidR="005E3E4F">
              <w:rPr>
                <w:rFonts w:ascii="Times New Roman" w:hAnsi="Times New Roman"/>
                <w:spacing w:val="-2"/>
              </w:rPr>
              <w:t>5 r. poz. 302</w:t>
            </w:r>
            <w:r w:rsidR="00DE76C0" w:rsidRPr="00DE76C0">
              <w:rPr>
                <w:rFonts w:ascii="Times New Roman" w:hAnsi="Times New Roman"/>
                <w:spacing w:val="-2"/>
              </w:rPr>
              <w:t>)</w:t>
            </w:r>
            <w:r w:rsidR="00DE76C0">
              <w:rPr>
                <w:rFonts w:ascii="Times New Roman" w:hAnsi="Times New Roman"/>
                <w:spacing w:val="-2"/>
              </w:rPr>
              <w:t xml:space="preserve"> </w:t>
            </w:r>
            <w:r w:rsidR="004C4D4C" w:rsidRPr="004C4D4C">
              <w:rPr>
                <w:rFonts w:ascii="Times New Roman" w:hAnsi="Times New Roman"/>
                <w:spacing w:val="-2"/>
              </w:rPr>
              <w:t xml:space="preserve">oraz ustawie z dnia 6 września 2001 r. – Prawo farmaceutyczne </w:t>
            </w:r>
            <w:r w:rsidR="00FE4B38" w:rsidRPr="0095120B">
              <w:rPr>
                <w:rFonts w:ascii="Times New Roman" w:hAnsi="Times New Roman"/>
                <w:spacing w:val="-2"/>
              </w:rPr>
              <w:t>nowych rozwiązań informatycznych</w:t>
            </w:r>
            <w:r w:rsidR="00760B6B">
              <w:rPr>
                <w:rFonts w:ascii="Times New Roman" w:hAnsi="Times New Roman"/>
                <w:spacing w:val="-2"/>
              </w:rPr>
              <w:t xml:space="preserve"> oraz rozwinięci</w:t>
            </w:r>
            <w:r w:rsidR="00795E1D">
              <w:rPr>
                <w:rFonts w:ascii="Times New Roman" w:hAnsi="Times New Roman"/>
                <w:spacing w:val="-2"/>
              </w:rPr>
              <w:t>e</w:t>
            </w:r>
            <w:r w:rsidR="00760B6B">
              <w:rPr>
                <w:rFonts w:ascii="Times New Roman" w:hAnsi="Times New Roman"/>
                <w:spacing w:val="-2"/>
              </w:rPr>
              <w:t xml:space="preserve"> i popraw</w:t>
            </w:r>
            <w:r w:rsidR="00795E1D">
              <w:rPr>
                <w:rFonts w:ascii="Times New Roman" w:hAnsi="Times New Roman"/>
                <w:spacing w:val="-2"/>
              </w:rPr>
              <w:t>ę</w:t>
            </w:r>
            <w:r w:rsidR="00760B6B">
              <w:rPr>
                <w:rFonts w:ascii="Times New Roman" w:hAnsi="Times New Roman"/>
                <w:spacing w:val="-2"/>
              </w:rPr>
              <w:t xml:space="preserve"> obecnie istniejących</w:t>
            </w:r>
            <w:r w:rsidR="00FE4B38" w:rsidRPr="0095120B">
              <w:rPr>
                <w:rFonts w:ascii="Times New Roman" w:hAnsi="Times New Roman"/>
                <w:spacing w:val="-2"/>
              </w:rPr>
              <w:t>:</w:t>
            </w:r>
            <w:r w:rsidR="00760B6B">
              <w:t xml:space="preserve"> </w:t>
            </w:r>
          </w:p>
          <w:p w14:paraId="13AA416B" w14:textId="5A06D2A4" w:rsidR="00E61C7A" w:rsidRPr="0095120B" w:rsidRDefault="00D65010" w:rsidP="004663A3">
            <w:pPr>
              <w:numPr>
                <w:ilvl w:val="1"/>
                <w:numId w:val="40"/>
              </w:numPr>
              <w:spacing w:line="240" w:lineRule="auto"/>
              <w:jc w:val="both"/>
              <w:rPr>
                <w:rFonts w:ascii="Times New Roman" w:hAnsi="Times New Roman"/>
                <w:bCs/>
                <w:spacing w:val="-2"/>
              </w:rPr>
            </w:pPr>
            <w:r w:rsidRPr="0095120B">
              <w:rPr>
                <w:rFonts w:ascii="Times New Roman" w:hAnsi="Times New Roman"/>
                <w:bCs/>
                <w:spacing w:val="-2"/>
              </w:rPr>
              <w:t>s</w:t>
            </w:r>
            <w:r w:rsidR="00E61C7A" w:rsidRPr="0095120B">
              <w:rPr>
                <w:rFonts w:ascii="Times New Roman" w:hAnsi="Times New Roman"/>
                <w:bCs/>
                <w:spacing w:val="-2"/>
              </w:rPr>
              <w:t>tworzenie Systemu Wspomagania Decyzji w Polityce Lekowej (SWDPL) dostępnego na użytek Ministerstwa Zdrowia, K</w:t>
            </w:r>
            <w:r w:rsidRPr="0095120B">
              <w:rPr>
                <w:rFonts w:ascii="Times New Roman" w:hAnsi="Times New Roman"/>
                <w:bCs/>
                <w:spacing w:val="-2"/>
              </w:rPr>
              <w:t xml:space="preserve">omisji </w:t>
            </w:r>
            <w:r w:rsidR="00E61C7A" w:rsidRPr="0095120B">
              <w:rPr>
                <w:rFonts w:ascii="Times New Roman" w:hAnsi="Times New Roman"/>
                <w:bCs/>
                <w:spacing w:val="-2"/>
              </w:rPr>
              <w:t>E</w:t>
            </w:r>
            <w:r w:rsidRPr="0095120B">
              <w:rPr>
                <w:rFonts w:ascii="Times New Roman" w:hAnsi="Times New Roman"/>
                <w:bCs/>
                <w:spacing w:val="-2"/>
              </w:rPr>
              <w:t>konomicznej</w:t>
            </w:r>
            <w:r w:rsidR="00E61C7A" w:rsidRPr="0095120B">
              <w:rPr>
                <w:rFonts w:ascii="Times New Roman" w:hAnsi="Times New Roman"/>
                <w:bCs/>
                <w:spacing w:val="-2"/>
              </w:rPr>
              <w:t xml:space="preserve">, członków kierownictwa </w:t>
            </w:r>
            <w:r w:rsidRPr="0095120B">
              <w:rPr>
                <w:rFonts w:ascii="Times New Roman" w:hAnsi="Times New Roman"/>
                <w:bCs/>
                <w:spacing w:val="-2"/>
              </w:rPr>
              <w:t xml:space="preserve">Ministerstwa </w:t>
            </w:r>
            <w:r w:rsidR="00E61C7A" w:rsidRPr="0095120B">
              <w:rPr>
                <w:rFonts w:ascii="Times New Roman" w:hAnsi="Times New Roman"/>
                <w:bCs/>
                <w:spacing w:val="-2"/>
              </w:rPr>
              <w:t>Z</w:t>
            </w:r>
            <w:r w:rsidRPr="0095120B">
              <w:rPr>
                <w:rFonts w:ascii="Times New Roman" w:hAnsi="Times New Roman"/>
                <w:bCs/>
                <w:spacing w:val="-2"/>
              </w:rPr>
              <w:t>drowia</w:t>
            </w:r>
            <w:r w:rsidR="00E61C7A" w:rsidRPr="0095120B">
              <w:rPr>
                <w:rFonts w:ascii="Times New Roman" w:hAnsi="Times New Roman"/>
                <w:bCs/>
                <w:spacing w:val="-2"/>
              </w:rPr>
              <w:t xml:space="preserve">. </w:t>
            </w:r>
            <w:r w:rsidR="006D190F">
              <w:rPr>
                <w:rFonts w:ascii="Times New Roman" w:hAnsi="Times New Roman"/>
                <w:bCs/>
                <w:spacing w:val="-2"/>
              </w:rPr>
              <w:t>Połączone w nim zostaną</w:t>
            </w:r>
            <w:r w:rsidR="00795E1D">
              <w:rPr>
                <w:rFonts w:ascii="Times New Roman" w:hAnsi="Times New Roman"/>
                <w:bCs/>
                <w:spacing w:val="-2"/>
              </w:rPr>
              <w:t xml:space="preserve"> m</w:t>
            </w:r>
            <w:r w:rsidR="00E61C7A" w:rsidRPr="0095120B">
              <w:rPr>
                <w:rFonts w:ascii="Times New Roman" w:hAnsi="Times New Roman"/>
                <w:bCs/>
                <w:spacing w:val="-2"/>
              </w:rPr>
              <w:t>oduł</w:t>
            </w:r>
            <w:r w:rsidR="001B4304">
              <w:rPr>
                <w:rFonts w:ascii="Times New Roman" w:hAnsi="Times New Roman"/>
                <w:bCs/>
                <w:spacing w:val="-2"/>
              </w:rPr>
              <w:t>y</w:t>
            </w:r>
            <w:r w:rsidR="00E61C7A" w:rsidRPr="0095120B">
              <w:rPr>
                <w:rFonts w:ascii="Times New Roman" w:hAnsi="Times New Roman"/>
                <w:bCs/>
                <w:spacing w:val="-2"/>
              </w:rPr>
              <w:t xml:space="preserve"> zbierając</w:t>
            </w:r>
            <w:r w:rsidR="0012032E">
              <w:rPr>
                <w:rFonts w:ascii="Times New Roman" w:hAnsi="Times New Roman"/>
                <w:bCs/>
                <w:spacing w:val="-2"/>
              </w:rPr>
              <w:t>e</w:t>
            </w:r>
            <w:r w:rsidR="00E61C7A" w:rsidRPr="0095120B">
              <w:rPr>
                <w:rFonts w:ascii="Times New Roman" w:hAnsi="Times New Roman"/>
                <w:bCs/>
                <w:spacing w:val="-2"/>
              </w:rPr>
              <w:t xml:space="preserve"> dane z systemów rozliczeniowych </w:t>
            </w:r>
            <w:r w:rsidR="00DE6C01" w:rsidRPr="0095120B">
              <w:rPr>
                <w:rFonts w:ascii="Times New Roman" w:hAnsi="Times New Roman"/>
                <w:bCs/>
                <w:spacing w:val="-2"/>
              </w:rPr>
              <w:t>NFZ</w:t>
            </w:r>
            <w:r w:rsidR="00E61C7A" w:rsidRPr="0095120B">
              <w:rPr>
                <w:rFonts w:ascii="Times New Roman" w:hAnsi="Times New Roman"/>
                <w:bCs/>
                <w:spacing w:val="-2"/>
              </w:rPr>
              <w:t xml:space="preserve"> oraz Z</w:t>
            </w:r>
            <w:r w:rsidR="00DE6C01" w:rsidRPr="0095120B">
              <w:rPr>
                <w:rFonts w:ascii="Times New Roman" w:hAnsi="Times New Roman"/>
                <w:bCs/>
                <w:spacing w:val="-2"/>
              </w:rPr>
              <w:t xml:space="preserve">integrowanym </w:t>
            </w:r>
            <w:r w:rsidR="00E61C7A" w:rsidRPr="0095120B">
              <w:rPr>
                <w:rFonts w:ascii="Times New Roman" w:hAnsi="Times New Roman"/>
                <w:bCs/>
                <w:spacing w:val="-2"/>
              </w:rPr>
              <w:t>S</w:t>
            </w:r>
            <w:r w:rsidR="00DE6C01" w:rsidRPr="0095120B">
              <w:rPr>
                <w:rFonts w:ascii="Times New Roman" w:hAnsi="Times New Roman"/>
                <w:bCs/>
                <w:spacing w:val="-2"/>
              </w:rPr>
              <w:t xml:space="preserve">ystemie Monitorowania Obrotu Produktami </w:t>
            </w:r>
            <w:r w:rsidR="0070219B">
              <w:rPr>
                <w:rFonts w:ascii="Times New Roman" w:hAnsi="Times New Roman"/>
                <w:bCs/>
                <w:spacing w:val="-2"/>
              </w:rPr>
              <w:t>L</w:t>
            </w:r>
            <w:r w:rsidR="00DE6C01" w:rsidRPr="0095120B">
              <w:rPr>
                <w:rFonts w:ascii="Times New Roman" w:hAnsi="Times New Roman"/>
                <w:bCs/>
                <w:spacing w:val="-2"/>
              </w:rPr>
              <w:t>eczniczymi (ZSMO</w:t>
            </w:r>
            <w:r w:rsidR="00E61C7A" w:rsidRPr="0095120B">
              <w:rPr>
                <w:rFonts w:ascii="Times New Roman" w:hAnsi="Times New Roman"/>
                <w:bCs/>
                <w:spacing w:val="-2"/>
              </w:rPr>
              <w:t>PL</w:t>
            </w:r>
            <w:r w:rsidR="00DE6C01" w:rsidRPr="0095120B">
              <w:rPr>
                <w:rFonts w:ascii="Times New Roman" w:hAnsi="Times New Roman"/>
                <w:bCs/>
                <w:spacing w:val="-2"/>
              </w:rPr>
              <w:t>)</w:t>
            </w:r>
            <w:r w:rsidR="00E61C7A" w:rsidRPr="0095120B">
              <w:rPr>
                <w:rFonts w:ascii="Times New Roman" w:hAnsi="Times New Roman"/>
                <w:bCs/>
                <w:spacing w:val="-2"/>
              </w:rPr>
              <w:t xml:space="preserve"> w zakresie dostępności, braków i stanów magazynowych leków. Dodatkowo SWDPL będzie zawierał analizy danych pochodzących z systemów monitorowania programów lekowych (SMPT)</w:t>
            </w:r>
            <w:r w:rsidRPr="0095120B">
              <w:rPr>
                <w:rFonts w:ascii="Times New Roman" w:hAnsi="Times New Roman"/>
                <w:bCs/>
                <w:spacing w:val="-2"/>
              </w:rPr>
              <w:t>,</w:t>
            </w:r>
          </w:p>
          <w:p w14:paraId="059C53F5" w14:textId="01950581" w:rsidR="00E61C7A" w:rsidRPr="0095120B" w:rsidRDefault="00D65010" w:rsidP="004663A3">
            <w:pPr>
              <w:numPr>
                <w:ilvl w:val="1"/>
                <w:numId w:val="40"/>
              </w:numPr>
              <w:spacing w:line="240" w:lineRule="auto"/>
              <w:jc w:val="both"/>
              <w:rPr>
                <w:rFonts w:ascii="Times New Roman" w:hAnsi="Times New Roman"/>
                <w:bCs/>
                <w:spacing w:val="-2"/>
              </w:rPr>
            </w:pPr>
            <w:r w:rsidRPr="0095120B">
              <w:rPr>
                <w:rFonts w:ascii="Times New Roman" w:hAnsi="Times New Roman"/>
                <w:bCs/>
                <w:spacing w:val="-2"/>
              </w:rPr>
              <w:t>n</w:t>
            </w:r>
            <w:r w:rsidR="00E61C7A" w:rsidRPr="0095120B">
              <w:rPr>
                <w:rFonts w:ascii="Times New Roman" w:hAnsi="Times New Roman"/>
                <w:bCs/>
                <w:spacing w:val="-2"/>
              </w:rPr>
              <w:t xml:space="preserve">adanie </w:t>
            </w:r>
            <w:r w:rsidR="00DE6C01" w:rsidRPr="0095120B">
              <w:rPr>
                <w:rFonts w:ascii="Times New Roman" w:hAnsi="Times New Roman"/>
                <w:bCs/>
                <w:spacing w:val="-2"/>
              </w:rPr>
              <w:t xml:space="preserve">określonego zakresu </w:t>
            </w:r>
            <w:r w:rsidR="00E61C7A" w:rsidRPr="0095120B">
              <w:rPr>
                <w:rFonts w:ascii="Times New Roman" w:hAnsi="Times New Roman"/>
                <w:bCs/>
                <w:spacing w:val="-2"/>
              </w:rPr>
              <w:t xml:space="preserve">dostępu </w:t>
            </w:r>
            <w:r w:rsidRPr="0095120B">
              <w:rPr>
                <w:rFonts w:ascii="Times New Roman" w:hAnsi="Times New Roman"/>
                <w:bCs/>
                <w:spacing w:val="-2"/>
              </w:rPr>
              <w:t xml:space="preserve">do ZSMOPL </w:t>
            </w:r>
            <w:r w:rsidR="00DE6C01" w:rsidRPr="0095120B">
              <w:rPr>
                <w:rFonts w:ascii="Times New Roman" w:hAnsi="Times New Roman"/>
                <w:bCs/>
                <w:spacing w:val="-2"/>
              </w:rPr>
              <w:t>wnioskodawcom</w:t>
            </w:r>
            <w:r w:rsidR="00795E1D">
              <w:rPr>
                <w:rFonts w:ascii="Times New Roman" w:hAnsi="Times New Roman"/>
                <w:bCs/>
                <w:spacing w:val="-2"/>
              </w:rPr>
              <w:t>, co będzie stanowić</w:t>
            </w:r>
            <w:r w:rsidR="00E61C7A" w:rsidRPr="0095120B">
              <w:rPr>
                <w:rFonts w:ascii="Times New Roman" w:hAnsi="Times New Roman"/>
                <w:bCs/>
                <w:spacing w:val="-2"/>
              </w:rPr>
              <w:t xml:space="preserve"> </w:t>
            </w:r>
            <w:r w:rsidR="00795E1D">
              <w:rPr>
                <w:rFonts w:ascii="Times New Roman" w:hAnsi="Times New Roman"/>
                <w:bCs/>
                <w:spacing w:val="-2"/>
              </w:rPr>
              <w:t>r</w:t>
            </w:r>
            <w:r w:rsidR="00E61C7A" w:rsidRPr="0095120B">
              <w:rPr>
                <w:rFonts w:ascii="Times New Roman" w:hAnsi="Times New Roman"/>
                <w:bCs/>
                <w:spacing w:val="-2"/>
              </w:rPr>
              <w:t>ealizacj</w:t>
            </w:r>
            <w:r w:rsidR="00795E1D">
              <w:rPr>
                <w:rFonts w:ascii="Times New Roman" w:hAnsi="Times New Roman"/>
                <w:bCs/>
                <w:spacing w:val="-2"/>
              </w:rPr>
              <w:t>ę</w:t>
            </w:r>
            <w:r w:rsidR="00E61C7A" w:rsidRPr="0095120B">
              <w:rPr>
                <w:rFonts w:ascii="Times New Roman" w:hAnsi="Times New Roman"/>
                <w:bCs/>
                <w:spacing w:val="-2"/>
              </w:rPr>
              <w:t xml:space="preserve"> postulatu wielokrotnie zgłaszanego przez organizacje branżowe i </w:t>
            </w:r>
            <w:r w:rsidR="0095120B" w:rsidRPr="0095120B">
              <w:rPr>
                <w:rFonts w:ascii="Times New Roman" w:hAnsi="Times New Roman"/>
                <w:bCs/>
                <w:spacing w:val="-2"/>
              </w:rPr>
              <w:t>w</w:t>
            </w:r>
            <w:r w:rsidR="00E61C7A" w:rsidRPr="0095120B">
              <w:rPr>
                <w:rFonts w:ascii="Times New Roman" w:hAnsi="Times New Roman"/>
                <w:bCs/>
                <w:spacing w:val="-2"/>
              </w:rPr>
              <w:t>nioskodawców</w:t>
            </w:r>
            <w:r w:rsidR="0012032E">
              <w:rPr>
                <w:rFonts w:ascii="Times New Roman" w:hAnsi="Times New Roman"/>
                <w:bCs/>
                <w:spacing w:val="-2"/>
              </w:rPr>
              <w:t xml:space="preserve"> w szczególności chodzi o</w:t>
            </w:r>
            <w:r w:rsidR="00E61C7A" w:rsidRPr="0095120B">
              <w:rPr>
                <w:rFonts w:ascii="Times New Roman" w:hAnsi="Times New Roman"/>
                <w:bCs/>
                <w:spacing w:val="-2"/>
              </w:rPr>
              <w:t xml:space="preserve"> dostęp </w:t>
            </w:r>
            <w:r w:rsidR="0012032E">
              <w:rPr>
                <w:rFonts w:ascii="Times New Roman" w:hAnsi="Times New Roman"/>
                <w:bCs/>
                <w:spacing w:val="-2"/>
              </w:rPr>
              <w:t xml:space="preserve">do danych dotyczących </w:t>
            </w:r>
            <w:r w:rsidR="00E61C7A" w:rsidRPr="0095120B">
              <w:rPr>
                <w:rFonts w:ascii="Times New Roman" w:hAnsi="Times New Roman"/>
                <w:bCs/>
                <w:spacing w:val="-2"/>
              </w:rPr>
              <w:t>stanów magazynowych leków należących do danego podmiotu odpowiedzialnego</w:t>
            </w:r>
            <w:r w:rsidR="008226B9" w:rsidRPr="0095120B">
              <w:rPr>
                <w:rFonts w:ascii="Times New Roman" w:hAnsi="Times New Roman"/>
                <w:bCs/>
                <w:spacing w:val="-2"/>
              </w:rPr>
              <w:t>,</w:t>
            </w:r>
          </w:p>
          <w:p w14:paraId="594D8650" w14:textId="14E65F02" w:rsidR="00E61C7A" w:rsidRPr="0095120B" w:rsidRDefault="00722023" w:rsidP="004663A3">
            <w:pPr>
              <w:numPr>
                <w:ilvl w:val="1"/>
                <w:numId w:val="40"/>
              </w:numPr>
              <w:spacing w:line="240" w:lineRule="auto"/>
              <w:jc w:val="both"/>
              <w:rPr>
                <w:rFonts w:ascii="Times New Roman" w:hAnsi="Times New Roman"/>
                <w:bCs/>
                <w:spacing w:val="-2"/>
              </w:rPr>
            </w:pPr>
            <w:r>
              <w:rPr>
                <w:rFonts w:ascii="Times New Roman" w:hAnsi="Times New Roman"/>
                <w:bCs/>
                <w:spacing w:val="-2"/>
              </w:rPr>
              <w:t xml:space="preserve">umożliwienie </w:t>
            </w:r>
            <w:r w:rsidR="004C4D4C">
              <w:rPr>
                <w:rFonts w:ascii="Times New Roman" w:hAnsi="Times New Roman"/>
                <w:bCs/>
                <w:spacing w:val="-2"/>
              </w:rPr>
              <w:t xml:space="preserve">oraz zobowiązanie aptek oraz hurtowni farmaceutycznych do raportowania danych </w:t>
            </w:r>
            <w:r>
              <w:rPr>
                <w:rFonts w:ascii="Times New Roman" w:hAnsi="Times New Roman"/>
                <w:bCs/>
                <w:spacing w:val="-2"/>
              </w:rPr>
              <w:t xml:space="preserve">w ZSMOPL </w:t>
            </w:r>
            <w:r w:rsidR="00E61C7A" w:rsidRPr="0095120B">
              <w:rPr>
                <w:rFonts w:ascii="Times New Roman" w:hAnsi="Times New Roman"/>
                <w:bCs/>
                <w:spacing w:val="-2"/>
              </w:rPr>
              <w:t xml:space="preserve">o </w:t>
            </w:r>
            <w:r w:rsidR="004C4D4C">
              <w:rPr>
                <w:rFonts w:ascii="Times New Roman" w:hAnsi="Times New Roman"/>
                <w:bCs/>
                <w:spacing w:val="-2"/>
              </w:rPr>
              <w:t>surowcach farmaceutycznych</w:t>
            </w:r>
            <w:r w:rsidR="00795E1D">
              <w:rPr>
                <w:rFonts w:ascii="Times New Roman" w:hAnsi="Times New Roman"/>
                <w:bCs/>
                <w:spacing w:val="-2"/>
              </w:rPr>
              <w:t>, co pozwoli na</w:t>
            </w:r>
            <w:r w:rsidR="00E61C7A" w:rsidRPr="0095120B">
              <w:rPr>
                <w:rFonts w:ascii="Times New Roman" w:hAnsi="Times New Roman"/>
                <w:bCs/>
                <w:spacing w:val="-2"/>
              </w:rPr>
              <w:t xml:space="preserve"> </w:t>
            </w:r>
            <w:r w:rsidR="00795E1D">
              <w:rPr>
                <w:rFonts w:ascii="Times New Roman" w:hAnsi="Times New Roman"/>
                <w:bCs/>
                <w:spacing w:val="-2"/>
              </w:rPr>
              <w:t xml:space="preserve">poprawę </w:t>
            </w:r>
            <w:r w:rsidR="00E61C7A" w:rsidRPr="0095120B">
              <w:rPr>
                <w:rFonts w:ascii="Times New Roman" w:hAnsi="Times New Roman"/>
                <w:bCs/>
                <w:spacing w:val="-2"/>
              </w:rPr>
              <w:t>transparentnoś</w:t>
            </w:r>
            <w:r w:rsidR="00795E1D">
              <w:rPr>
                <w:rFonts w:ascii="Times New Roman" w:hAnsi="Times New Roman"/>
                <w:bCs/>
                <w:spacing w:val="-2"/>
              </w:rPr>
              <w:t>ć</w:t>
            </w:r>
            <w:r w:rsidR="00E61C7A" w:rsidRPr="0095120B">
              <w:rPr>
                <w:rFonts w:ascii="Times New Roman" w:hAnsi="Times New Roman"/>
                <w:bCs/>
                <w:spacing w:val="-2"/>
              </w:rPr>
              <w:t xml:space="preserve"> procesu </w:t>
            </w:r>
            <w:r w:rsidR="00795E1D">
              <w:rPr>
                <w:rFonts w:ascii="Times New Roman" w:hAnsi="Times New Roman"/>
                <w:bCs/>
                <w:spacing w:val="-2"/>
              </w:rPr>
              <w:t xml:space="preserve">sporządzania leków recepturowych i ich wyceny </w:t>
            </w:r>
            <w:r w:rsidR="00E61C7A" w:rsidRPr="0095120B">
              <w:rPr>
                <w:rFonts w:ascii="Times New Roman" w:hAnsi="Times New Roman"/>
                <w:bCs/>
                <w:spacing w:val="-2"/>
              </w:rPr>
              <w:t>oraz</w:t>
            </w:r>
            <w:r w:rsidR="00795E1D">
              <w:rPr>
                <w:rFonts w:ascii="Times New Roman" w:hAnsi="Times New Roman"/>
                <w:bCs/>
                <w:spacing w:val="-2"/>
              </w:rPr>
              <w:t xml:space="preserve"> zwiększy</w:t>
            </w:r>
            <w:r w:rsidR="00E61C7A" w:rsidRPr="0095120B">
              <w:rPr>
                <w:rFonts w:ascii="Times New Roman" w:hAnsi="Times New Roman"/>
                <w:bCs/>
                <w:spacing w:val="-2"/>
              </w:rPr>
              <w:t xml:space="preserve"> możliwości nadzoru </w:t>
            </w:r>
            <w:r w:rsidR="00795E1D">
              <w:rPr>
                <w:rFonts w:ascii="Times New Roman" w:hAnsi="Times New Roman"/>
                <w:bCs/>
                <w:spacing w:val="-2"/>
              </w:rPr>
              <w:t xml:space="preserve">nad tymi procesami </w:t>
            </w:r>
            <w:r w:rsidR="00E61C7A" w:rsidRPr="0095120B">
              <w:rPr>
                <w:rFonts w:ascii="Times New Roman" w:hAnsi="Times New Roman"/>
                <w:bCs/>
                <w:spacing w:val="-2"/>
              </w:rPr>
              <w:t xml:space="preserve">przez </w:t>
            </w:r>
            <w:r>
              <w:rPr>
                <w:rFonts w:ascii="Times New Roman" w:hAnsi="Times New Roman"/>
                <w:bCs/>
                <w:spacing w:val="-2"/>
              </w:rPr>
              <w:t>NFZ</w:t>
            </w:r>
            <w:r w:rsidR="00A66BC3">
              <w:rPr>
                <w:rFonts w:ascii="Times New Roman" w:hAnsi="Times New Roman"/>
                <w:bCs/>
                <w:spacing w:val="-2"/>
              </w:rPr>
              <w:t>.</w:t>
            </w:r>
          </w:p>
          <w:p w14:paraId="50C28DD7" w14:textId="565EB527" w:rsidR="00E61C7A" w:rsidRPr="0012032E" w:rsidRDefault="00DE76C0" w:rsidP="0012032E">
            <w:pPr>
              <w:spacing w:line="240" w:lineRule="auto"/>
              <w:ind w:left="769"/>
              <w:jc w:val="both"/>
              <w:rPr>
                <w:rFonts w:ascii="Times New Roman" w:hAnsi="Times New Roman"/>
                <w:bCs/>
                <w:spacing w:val="-2"/>
              </w:rPr>
            </w:pPr>
            <w:r w:rsidRPr="0012032E">
              <w:rPr>
                <w:rFonts w:ascii="Times New Roman" w:hAnsi="Times New Roman"/>
                <w:bCs/>
                <w:spacing w:val="-2"/>
              </w:rPr>
              <w:t>Dodatkowo</w:t>
            </w:r>
            <w:r w:rsidR="00795E1D" w:rsidRPr="0012032E">
              <w:rPr>
                <w:rFonts w:ascii="Times New Roman" w:hAnsi="Times New Roman"/>
                <w:bCs/>
                <w:spacing w:val="-2"/>
              </w:rPr>
              <w:t>,</w:t>
            </w:r>
            <w:r w:rsidRPr="0012032E">
              <w:rPr>
                <w:rFonts w:ascii="Times New Roman" w:hAnsi="Times New Roman"/>
                <w:bCs/>
                <w:spacing w:val="-2"/>
              </w:rPr>
              <w:t xml:space="preserve"> w związku ze </w:t>
            </w:r>
            <w:r w:rsidR="00795E1D" w:rsidRPr="0012032E">
              <w:rPr>
                <w:rFonts w:ascii="Times New Roman" w:hAnsi="Times New Roman"/>
                <w:bCs/>
                <w:spacing w:val="-2"/>
              </w:rPr>
              <w:t>zmianą zakresu</w:t>
            </w:r>
            <w:r w:rsidRPr="0012032E">
              <w:rPr>
                <w:rFonts w:ascii="Times New Roman" w:hAnsi="Times New Roman"/>
                <w:bCs/>
                <w:spacing w:val="-2"/>
              </w:rPr>
              <w:t xml:space="preserve"> zbierania i przetwarzania</w:t>
            </w:r>
            <w:r w:rsidR="00795E1D" w:rsidRPr="0012032E">
              <w:rPr>
                <w:rFonts w:ascii="Times New Roman" w:hAnsi="Times New Roman"/>
                <w:bCs/>
                <w:spacing w:val="-2"/>
              </w:rPr>
              <w:t xml:space="preserve"> danych,</w:t>
            </w:r>
            <w:r w:rsidRPr="0012032E">
              <w:rPr>
                <w:rFonts w:ascii="Times New Roman" w:hAnsi="Times New Roman"/>
                <w:bCs/>
                <w:spacing w:val="-2"/>
              </w:rPr>
              <w:t xml:space="preserve"> wynikającą </w:t>
            </w:r>
            <w:r w:rsidR="00795E1D" w:rsidRPr="0012032E">
              <w:rPr>
                <w:rFonts w:ascii="Times New Roman" w:hAnsi="Times New Roman"/>
                <w:bCs/>
                <w:spacing w:val="-2"/>
              </w:rPr>
              <w:t xml:space="preserve">z opisanej wyżej </w:t>
            </w:r>
            <w:r w:rsidRPr="0012032E">
              <w:rPr>
                <w:rFonts w:ascii="Times New Roman" w:hAnsi="Times New Roman"/>
                <w:bCs/>
                <w:spacing w:val="-2"/>
              </w:rPr>
              <w:t>rozbudowy systemów informatycznych w systemie zdrowia</w:t>
            </w:r>
            <w:r w:rsidR="00795E1D" w:rsidRPr="0012032E">
              <w:rPr>
                <w:rFonts w:ascii="Times New Roman" w:hAnsi="Times New Roman"/>
                <w:bCs/>
                <w:spacing w:val="-2"/>
              </w:rPr>
              <w:t>,</w:t>
            </w:r>
            <w:r w:rsidRPr="0012032E">
              <w:rPr>
                <w:rFonts w:ascii="Times New Roman" w:hAnsi="Times New Roman"/>
                <w:bCs/>
                <w:spacing w:val="-2"/>
              </w:rPr>
              <w:t xml:space="preserve"> proponuje się </w:t>
            </w:r>
            <w:r w:rsidR="008226B9" w:rsidRPr="0012032E">
              <w:rPr>
                <w:rFonts w:ascii="Times New Roman" w:hAnsi="Times New Roman"/>
                <w:bCs/>
                <w:spacing w:val="-2"/>
              </w:rPr>
              <w:t>z</w:t>
            </w:r>
            <w:r w:rsidR="00E61C7A" w:rsidRPr="0012032E">
              <w:rPr>
                <w:rFonts w:ascii="Times New Roman" w:hAnsi="Times New Roman"/>
                <w:bCs/>
                <w:spacing w:val="-2"/>
              </w:rPr>
              <w:t xml:space="preserve">definiowanie </w:t>
            </w:r>
            <w:r w:rsidR="00722023">
              <w:rPr>
                <w:rFonts w:ascii="Times New Roman" w:hAnsi="Times New Roman"/>
                <w:bCs/>
                <w:spacing w:val="-2"/>
              </w:rPr>
              <w:t xml:space="preserve">kategorii </w:t>
            </w:r>
            <w:r w:rsidR="00E61C7A" w:rsidRPr="0012032E">
              <w:rPr>
                <w:rFonts w:ascii="Times New Roman" w:hAnsi="Times New Roman"/>
                <w:bCs/>
                <w:spacing w:val="-2"/>
              </w:rPr>
              <w:t>udostępnianych podmiot</w:t>
            </w:r>
            <w:r w:rsidR="00795E1D" w:rsidRPr="0012032E">
              <w:rPr>
                <w:rFonts w:ascii="Times New Roman" w:hAnsi="Times New Roman"/>
                <w:bCs/>
                <w:spacing w:val="-2"/>
              </w:rPr>
              <w:t>om</w:t>
            </w:r>
            <w:r w:rsidR="00E61C7A" w:rsidRPr="0012032E">
              <w:rPr>
                <w:rFonts w:ascii="Times New Roman" w:hAnsi="Times New Roman"/>
                <w:bCs/>
                <w:spacing w:val="-2"/>
              </w:rPr>
              <w:t xml:space="preserve"> odpowiedzialn</w:t>
            </w:r>
            <w:r w:rsidR="00795E1D" w:rsidRPr="0012032E">
              <w:rPr>
                <w:rFonts w:ascii="Times New Roman" w:hAnsi="Times New Roman"/>
                <w:bCs/>
                <w:spacing w:val="-2"/>
              </w:rPr>
              <w:t>ym</w:t>
            </w:r>
            <w:r w:rsidR="00E61C7A" w:rsidRPr="0012032E">
              <w:rPr>
                <w:rFonts w:ascii="Times New Roman" w:hAnsi="Times New Roman"/>
                <w:bCs/>
                <w:spacing w:val="-2"/>
              </w:rPr>
              <w:t xml:space="preserve"> danych będących w posiadaniu </w:t>
            </w:r>
            <w:r w:rsidR="00DE6C01" w:rsidRPr="0012032E">
              <w:rPr>
                <w:rFonts w:ascii="Times New Roman" w:hAnsi="Times New Roman"/>
                <w:bCs/>
                <w:spacing w:val="-2"/>
              </w:rPr>
              <w:t>NFZ</w:t>
            </w:r>
            <w:r w:rsidR="00E61C7A" w:rsidRPr="0012032E">
              <w:rPr>
                <w:rFonts w:ascii="Times New Roman" w:hAnsi="Times New Roman"/>
                <w:bCs/>
                <w:spacing w:val="-2"/>
              </w:rPr>
              <w:t xml:space="preserve"> </w:t>
            </w:r>
            <w:r w:rsidRPr="0012032E">
              <w:rPr>
                <w:rFonts w:ascii="Times New Roman" w:hAnsi="Times New Roman"/>
                <w:bCs/>
                <w:spacing w:val="-2"/>
              </w:rPr>
              <w:t>i</w:t>
            </w:r>
            <w:r w:rsidR="00DC7F99" w:rsidRPr="0012032E">
              <w:rPr>
                <w:rFonts w:ascii="Times New Roman" w:hAnsi="Times New Roman"/>
                <w:bCs/>
                <w:spacing w:val="-2"/>
              </w:rPr>
              <w:t xml:space="preserve"> </w:t>
            </w:r>
            <w:r w:rsidR="005E69ED" w:rsidRPr="0012032E">
              <w:rPr>
                <w:rFonts w:ascii="Times New Roman" w:hAnsi="Times New Roman"/>
                <w:bCs/>
                <w:spacing w:val="-2"/>
              </w:rPr>
              <w:t>zobligowanie do publikacji przez NFZ cyklicznych raportów ze skuteczności technologii lekowych finansowanych w ramach programów lekowych i receptury aptecznej</w:t>
            </w:r>
            <w:r w:rsidR="0012032E" w:rsidRPr="0012032E">
              <w:rPr>
                <w:rFonts w:ascii="Times New Roman" w:hAnsi="Times New Roman"/>
                <w:bCs/>
                <w:spacing w:val="-2"/>
              </w:rPr>
              <w:t xml:space="preserve"> oraz związanych</w:t>
            </w:r>
            <w:r w:rsidR="005E69ED" w:rsidRPr="0012032E">
              <w:rPr>
                <w:rFonts w:ascii="Times New Roman" w:hAnsi="Times New Roman"/>
                <w:bCs/>
                <w:spacing w:val="-2"/>
              </w:rPr>
              <w:t xml:space="preserve"> z nią wydatków, a także na temat kwot refundacji przypadających na aptekę lub punkt apteczny; ponadto planuje się zwiększenie szczegółowości danych refundacyjnych dotyczących wyrobów </w:t>
            </w:r>
            <w:r w:rsidR="00742EE2">
              <w:rPr>
                <w:rFonts w:ascii="Times New Roman" w:hAnsi="Times New Roman"/>
                <w:bCs/>
                <w:spacing w:val="-2"/>
              </w:rPr>
              <w:t xml:space="preserve">medycznych </w:t>
            </w:r>
            <w:r w:rsidR="005E69ED" w:rsidRPr="0012032E">
              <w:rPr>
                <w:rFonts w:ascii="Times New Roman" w:hAnsi="Times New Roman"/>
                <w:bCs/>
                <w:spacing w:val="-2"/>
              </w:rPr>
              <w:t>na zlecenie, w tym przyporządkowanie wielkości refundacji konkretnym produktom</w:t>
            </w:r>
            <w:r w:rsidR="00A66BC3">
              <w:rPr>
                <w:rFonts w:ascii="Times New Roman" w:hAnsi="Times New Roman"/>
                <w:bCs/>
                <w:spacing w:val="-2"/>
              </w:rPr>
              <w:t>;</w:t>
            </w:r>
          </w:p>
          <w:p w14:paraId="09223FC8" w14:textId="38F15F7D" w:rsidR="00E61C7A" w:rsidRPr="002D17FB" w:rsidRDefault="008226B9" w:rsidP="00AB7441">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24</w:t>
            </w:r>
            <w:r w:rsidR="007D7673">
              <w:rPr>
                <w:rFonts w:ascii="Times New Roman" w:hAnsi="Times New Roman"/>
                <w:bCs/>
                <w:spacing w:val="-2"/>
              </w:rPr>
              <w:t xml:space="preserve"> i 25</w:t>
            </w:r>
            <w:r w:rsidR="00E61C7A" w:rsidRPr="0095120B">
              <w:rPr>
                <w:rFonts w:ascii="Times New Roman" w:hAnsi="Times New Roman"/>
                <w:bCs/>
                <w:spacing w:val="-2"/>
              </w:rPr>
              <w:t xml:space="preserve"> sekcji</w:t>
            </w:r>
            <w:r w:rsidR="004B4BC7" w:rsidRPr="0095120B">
              <w:rPr>
                <w:rFonts w:ascii="Times New Roman" w:hAnsi="Times New Roman"/>
                <w:bCs/>
                <w:spacing w:val="-2"/>
              </w:rPr>
              <w:t xml:space="preserve"> 1</w:t>
            </w:r>
            <w:r w:rsidR="00E61C7A" w:rsidRPr="0095120B">
              <w:rPr>
                <w:rFonts w:ascii="Times New Roman" w:hAnsi="Times New Roman"/>
                <w:bCs/>
                <w:spacing w:val="-2"/>
              </w:rPr>
              <w:t xml:space="preserve"> OSR proponuje się z</w:t>
            </w:r>
            <w:r w:rsidR="004B5034" w:rsidRPr="0095120B">
              <w:rPr>
                <w:rFonts w:ascii="Times New Roman" w:hAnsi="Times New Roman"/>
                <w:bCs/>
                <w:spacing w:val="-2"/>
              </w:rPr>
              <w:t xml:space="preserve">miany w zakresie funkcjonowania </w:t>
            </w:r>
            <w:r w:rsidR="004B4BC7" w:rsidRPr="0095120B">
              <w:rPr>
                <w:rFonts w:ascii="Times New Roman" w:hAnsi="Times New Roman"/>
                <w:bCs/>
                <w:spacing w:val="-2"/>
              </w:rPr>
              <w:t>i</w:t>
            </w:r>
            <w:r w:rsidR="004B5034" w:rsidRPr="0095120B">
              <w:rPr>
                <w:rFonts w:ascii="Times New Roman" w:hAnsi="Times New Roman"/>
                <w:bCs/>
                <w:spacing w:val="-2"/>
              </w:rPr>
              <w:t>mportu docelowego</w:t>
            </w:r>
            <w:r w:rsidR="00742EE2">
              <w:rPr>
                <w:rFonts w:ascii="Times New Roman" w:hAnsi="Times New Roman"/>
                <w:bCs/>
                <w:spacing w:val="-2"/>
              </w:rPr>
              <w:t xml:space="preserve"> i refundacji produktów sprowadzanych w ramach tego importu</w:t>
            </w:r>
            <w:r w:rsidR="004B5034" w:rsidRPr="0095120B">
              <w:rPr>
                <w:rFonts w:ascii="Times New Roman" w:hAnsi="Times New Roman"/>
                <w:bCs/>
                <w:spacing w:val="-2"/>
              </w:rPr>
              <w:t>:</w:t>
            </w:r>
            <w:bookmarkStart w:id="5" w:name="_Hlk108153815"/>
          </w:p>
          <w:p w14:paraId="01F597E7" w14:textId="46B4F4F6" w:rsidR="00E61C7A" w:rsidRPr="00742EE2" w:rsidRDefault="00742EE2" w:rsidP="00742EE2">
            <w:pPr>
              <w:numPr>
                <w:ilvl w:val="1"/>
                <w:numId w:val="42"/>
              </w:numPr>
              <w:spacing w:line="240" w:lineRule="auto"/>
              <w:jc w:val="both"/>
              <w:rPr>
                <w:rFonts w:ascii="Times New Roman" w:hAnsi="Times New Roman"/>
                <w:bCs/>
                <w:spacing w:val="-2"/>
              </w:rPr>
            </w:pPr>
            <w:r>
              <w:rPr>
                <w:rFonts w:ascii="Times New Roman" w:hAnsi="Times New Roman"/>
                <w:bCs/>
                <w:spacing w:val="-2"/>
              </w:rPr>
              <w:t>z</w:t>
            </w:r>
            <w:r w:rsidRPr="00742EE2">
              <w:rPr>
                <w:rFonts w:ascii="Times New Roman" w:hAnsi="Times New Roman"/>
                <w:bCs/>
                <w:spacing w:val="-2"/>
              </w:rPr>
              <w:t>mniejszenie barier prawnych sprowadzających się do stosowania takich samych wymagań formalnych w procedurze refundacyjnej względem leków stosownych w chorobach rzadkich, co do innych leków przez nadanie nowego brzmienia art. 39 ust. 3e ustawy</w:t>
            </w:r>
            <w:r w:rsidR="005E3E4F">
              <w:rPr>
                <w:rFonts w:ascii="Times New Roman" w:hAnsi="Times New Roman"/>
                <w:bCs/>
                <w:spacing w:val="-2"/>
              </w:rPr>
              <w:t xml:space="preserve"> </w:t>
            </w:r>
            <w:r w:rsidR="003F6220" w:rsidRPr="00742EE2">
              <w:rPr>
                <w:rFonts w:ascii="Times New Roman" w:hAnsi="Times New Roman"/>
                <w:bCs/>
                <w:spacing w:val="-2"/>
              </w:rPr>
              <w:t>refundacy</w:t>
            </w:r>
            <w:r w:rsidR="003F6220">
              <w:rPr>
                <w:rFonts w:ascii="Times New Roman" w:hAnsi="Times New Roman"/>
                <w:bCs/>
                <w:spacing w:val="-2"/>
              </w:rPr>
              <w:t>jnej</w:t>
            </w:r>
            <w:r w:rsidRPr="00742EE2">
              <w:rPr>
                <w:rFonts w:ascii="Times New Roman" w:hAnsi="Times New Roman"/>
                <w:bCs/>
                <w:spacing w:val="-2"/>
              </w:rPr>
              <w:t>.</w:t>
            </w:r>
            <w:r>
              <w:rPr>
                <w:rFonts w:ascii="Times New Roman" w:hAnsi="Times New Roman"/>
                <w:bCs/>
                <w:spacing w:val="-2"/>
              </w:rPr>
              <w:t xml:space="preserve"> </w:t>
            </w:r>
            <w:r w:rsidRPr="00742EE2">
              <w:rPr>
                <w:rFonts w:ascii="Times New Roman" w:hAnsi="Times New Roman"/>
                <w:bCs/>
                <w:spacing w:val="-2"/>
              </w:rPr>
              <w:t>Zwiększy to możliwości obejmowania refundacją leków stosowanych w chorobach rzadkich, a tym samym poprawi</w:t>
            </w:r>
            <w:r w:rsidR="00722023">
              <w:rPr>
                <w:rFonts w:ascii="Times New Roman" w:hAnsi="Times New Roman"/>
                <w:bCs/>
                <w:spacing w:val="-2"/>
              </w:rPr>
              <w:t xml:space="preserve"> stan</w:t>
            </w:r>
            <w:r w:rsidRPr="00742EE2">
              <w:rPr>
                <w:rFonts w:ascii="Times New Roman" w:hAnsi="Times New Roman"/>
                <w:bCs/>
                <w:spacing w:val="-2"/>
              </w:rPr>
              <w:t xml:space="preserve"> dostępności</w:t>
            </w:r>
            <w:r w:rsidR="00722023">
              <w:rPr>
                <w:rFonts w:ascii="Times New Roman" w:hAnsi="Times New Roman"/>
                <w:bCs/>
                <w:spacing w:val="-2"/>
              </w:rPr>
              <w:t xml:space="preserve"> do</w:t>
            </w:r>
            <w:r w:rsidRPr="00742EE2">
              <w:rPr>
                <w:rFonts w:ascii="Times New Roman" w:hAnsi="Times New Roman"/>
                <w:bCs/>
                <w:spacing w:val="-2"/>
              </w:rPr>
              <w:t xml:space="preserve"> terapii dla pacjentów cierpiących na te choroby. Zmiana ta jest realizacją </w:t>
            </w:r>
            <w:r w:rsidR="00722023">
              <w:rPr>
                <w:rFonts w:ascii="Times New Roman" w:hAnsi="Times New Roman"/>
                <w:bCs/>
                <w:spacing w:val="-2"/>
              </w:rPr>
              <w:t>u</w:t>
            </w:r>
            <w:r w:rsidR="00722023" w:rsidRPr="00742EE2">
              <w:rPr>
                <w:rFonts w:ascii="Times New Roman" w:hAnsi="Times New Roman"/>
                <w:bCs/>
                <w:spacing w:val="-2"/>
              </w:rPr>
              <w:t xml:space="preserve">chwały </w:t>
            </w:r>
            <w:r w:rsidRPr="00742EE2">
              <w:rPr>
                <w:rFonts w:ascii="Times New Roman" w:hAnsi="Times New Roman"/>
                <w:bCs/>
                <w:spacing w:val="-2"/>
              </w:rPr>
              <w:t>nr 88 Rady Ministrów z dnia 13 sierpnia 2024 r. w sprawie przyjęcia dokumentu Plan dla Chorób Rzadkich na lata 2024</w:t>
            </w:r>
            <w:r w:rsidR="00CF00C6">
              <w:rPr>
                <w:rFonts w:ascii="Times New Roman" w:hAnsi="Times New Roman"/>
                <w:bCs/>
                <w:spacing w:val="-2"/>
              </w:rPr>
              <w:t>–</w:t>
            </w:r>
            <w:r w:rsidRPr="00742EE2">
              <w:rPr>
                <w:rFonts w:ascii="Times New Roman" w:hAnsi="Times New Roman"/>
                <w:bCs/>
                <w:spacing w:val="-2"/>
              </w:rPr>
              <w:t>2025, która zakłada m. in. poprawę dostępu do leków stosowanych w chorobach rzadkich przed ich dopuszczeniem do obrotu</w:t>
            </w:r>
            <w:r w:rsidR="008226B9" w:rsidRPr="00742EE2">
              <w:rPr>
                <w:rFonts w:ascii="Times New Roman" w:hAnsi="Times New Roman"/>
                <w:bCs/>
                <w:spacing w:val="-2"/>
              </w:rPr>
              <w:t>,</w:t>
            </w:r>
          </w:p>
          <w:p w14:paraId="04DA6DC8" w14:textId="08337DC9" w:rsidR="00E61C7A" w:rsidRPr="0095120B" w:rsidRDefault="00E61C7A" w:rsidP="004663A3">
            <w:pPr>
              <w:numPr>
                <w:ilvl w:val="1"/>
                <w:numId w:val="42"/>
              </w:numPr>
              <w:spacing w:line="240" w:lineRule="auto"/>
              <w:jc w:val="both"/>
              <w:rPr>
                <w:rFonts w:ascii="Times New Roman" w:hAnsi="Times New Roman"/>
                <w:bCs/>
                <w:spacing w:val="-2"/>
              </w:rPr>
            </w:pPr>
            <w:r w:rsidRPr="0095120B">
              <w:rPr>
                <w:rFonts w:ascii="Times New Roman" w:hAnsi="Times New Roman"/>
                <w:bCs/>
                <w:spacing w:val="-2"/>
              </w:rPr>
              <w:t>doprecyzowani</w:t>
            </w:r>
            <w:r w:rsidR="00EF5346">
              <w:rPr>
                <w:rFonts w:ascii="Times New Roman" w:hAnsi="Times New Roman"/>
                <w:bCs/>
                <w:spacing w:val="-2"/>
              </w:rPr>
              <w:t>e</w:t>
            </w:r>
            <w:r w:rsidRPr="0095120B">
              <w:rPr>
                <w:rFonts w:ascii="Times New Roman" w:hAnsi="Times New Roman"/>
                <w:bCs/>
                <w:spacing w:val="-2"/>
              </w:rPr>
              <w:t xml:space="preserve"> procedury importu docelowego produktów leczniczych lub środków spożywczych specjalnego przeznaczenia żywieniowego oraz </w:t>
            </w:r>
            <w:r w:rsidR="00310DE7">
              <w:rPr>
                <w:rFonts w:ascii="Times New Roman" w:hAnsi="Times New Roman"/>
                <w:bCs/>
                <w:spacing w:val="-2"/>
              </w:rPr>
              <w:t xml:space="preserve">działania na rzecz dalszego rozwoju rozwiązań umożliwiających rozpatrywanie wniosków z wykorzystaniem </w:t>
            </w:r>
            <w:r w:rsidR="00722023">
              <w:rPr>
                <w:rFonts w:ascii="Times New Roman" w:hAnsi="Times New Roman"/>
                <w:bCs/>
                <w:spacing w:val="-2"/>
              </w:rPr>
              <w:t xml:space="preserve">narzędzi </w:t>
            </w:r>
            <w:r w:rsidR="00310DE7">
              <w:rPr>
                <w:rFonts w:ascii="Times New Roman" w:hAnsi="Times New Roman"/>
                <w:bCs/>
                <w:spacing w:val="-2"/>
              </w:rPr>
              <w:t>technicznych (informatycznych)</w:t>
            </w:r>
            <w:r w:rsidR="006245D8">
              <w:rPr>
                <w:rFonts w:ascii="Times New Roman" w:hAnsi="Times New Roman"/>
                <w:bCs/>
                <w:spacing w:val="-2"/>
              </w:rPr>
              <w:t>,</w:t>
            </w:r>
            <w:r w:rsidR="00EB4200">
              <w:rPr>
                <w:rFonts w:ascii="Times New Roman" w:hAnsi="Times New Roman"/>
                <w:bCs/>
                <w:spacing w:val="-2"/>
              </w:rPr>
              <w:t xml:space="preserve"> </w:t>
            </w:r>
          </w:p>
          <w:p w14:paraId="4AB255FE" w14:textId="3C65CA4F" w:rsidR="00E61C7A" w:rsidRDefault="00E61C7A" w:rsidP="004663A3">
            <w:pPr>
              <w:numPr>
                <w:ilvl w:val="1"/>
                <w:numId w:val="42"/>
              </w:numPr>
              <w:spacing w:line="240" w:lineRule="auto"/>
              <w:jc w:val="both"/>
              <w:rPr>
                <w:rFonts w:ascii="Times New Roman" w:hAnsi="Times New Roman"/>
                <w:bCs/>
                <w:spacing w:val="-2"/>
              </w:rPr>
            </w:pPr>
            <w:r w:rsidRPr="0095120B">
              <w:rPr>
                <w:rFonts w:ascii="Times New Roman" w:hAnsi="Times New Roman"/>
                <w:bCs/>
                <w:spacing w:val="-2"/>
              </w:rPr>
              <w:t>modyfikacj</w:t>
            </w:r>
            <w:r w:rsidR="00EF5346">
              <w:rPr>
                <w:rFonts w:ascii="Times New Roman" w:hAnsi="Times New Roman"/>
                <w:bCs/>
                <w:spacing w:val="-2"/>
              </w:rPr>
              <w:t>ę</w:t>
            </w:r>
            <w:r w:rsidRPr="0095120B">
              <w:rPr>
                <w:rFonts w:ascii="Times New Roman" w:hAnsi="Times New Roman"/>
                <w:bCs/>
                <w:spacing w:val="-2"/>
              </w:rPr>
              <w:t xml:space="preserve"> zasad wystawiania recept w kontekście maksymalnej ilości </w:t>
            </w:r>
            <w:r w:rsidR="005A0A7F" w:rsidRPr="0095120B">
              <w:rPr>
                <w:rFonts w:ascii="Times New Roman" w:hAnsi="Times New Roman"/>
                <w:bCs/>
                <w:spacing w:val="-2"/>
              </w:rPr>
              <w:t>leku</w:t>
            </w:r>
            <w:r w:rsidRPr="0095120B">
              <w:rPr>
                <w:rFonts w:ascii="Times New Roman" w:hAnsi="Times New Roman"/>
                <w:bCs/>
                <w:spacing w:val="-2"/>
              </w:rPr>
              <w:t xml:space="preserve"> lub środka spożywczego specjalnego przeznaczenia żywieniowego, jaką można jednorazowo przepisać </w:t>
            </w:r>
            <w:r w:rsidR="00722023">
              <w:rPr>
                <w:rFonts w:ascii="Times New Roman" w:hAnsi="Times New Roman"/>
                <w:bCs/>
                <w:spacing w:val="-2"/>
              </w:rPr>
              <w:t xml:space="preserve">na recepcie </w:t>
            </w:r>
            <w:r w:rsidRPr="0095120B">
              <w:rPr>
                <w:rFonts w:ascii="Times New Roman" w:hAnsi="Times New Roman"/>
                <w:bCs/>
                <w:spacing w:val="-2"/>
              </w:rPr>
              <w:t>pacjentowi w związku z ich sprowadzaniem dla tego pacjenta w imporcie docelowym, jak również zmiany obowiązujących terminów realizacji takiej recepty</w:t>
            </w:r>
            <w:r w:rsidR="00FF62E1" w:rsidRPr="0095120B">
              <w:rPr>
                <w:rFonts w:ascii="Times New Roman" w:hAnsi="Times New Roman"/>
                <w:bCs/>
                <w:spacing w:val="-2"/>
              </w:rPr>
              <w:t>,</w:t>
            </w:r>
          </w:p>
          <w:p w14:paraId="1F00C78A" w14:textId="3A6D2CE3" w:rsidR="00742EE2" w:rsidRPr="002D17FB" w:rsidRDefault="00E61C7A" w:rsidP="002D17FB">
            <w:pPr>
              <w:numPr>
                <w:ilvl w:val="1"/>
                <w:numId w:val="42"/>
              </w:numPr>
              <w:spacing w:line="240" w:lineRule="auto"/>
              <w:jc w:val="both"/>
              <w:rPr>
                <w:rFonts w:ascii="Times New Roman" w:hAnsi="Times New Roman"/>
                <w:bCs/>
                <w:spacing w:val="-2"/>
              </w:rPr>
            </w:pPr>
            <w:r w:rsidRPr="002D17FB">
              <w:rPr>
                <w:rFonts w:ascii="Times New Roman" w:hAnsi="Times New Roman"/>
                <w:bCs/>
                <w:spacing w:val="-2"/>
              </w:rPr>
              <w:t>zmian</w:t>
            </w:r>
            <w:r w:rsidR="002D17FB">
              <w:rPr>
                <w:rFonts w:ascii="Times New Roman" w:hAnsi="Times New Roman"/>
                <w:bCs/>
                <w:spacing w:val="-2"/>
              </w:rPr>
              <w:t>y</w:t>
            </w:r>
            <w:r w:rsidRPr="002D17FB">
              <w:rPr>
                <w:rFonts w:ascii="Times New Roman" w:hAnsi="Times New Roman"/>
                <w:bCs/>
                <w:spacing w:val="-2"/>
              </w:rPr>
              <w:t xml:space="preserve"> </w:t>
            </w:r>
            <w:r w:rsidR="002D17FB" w:rsidRPr="002D17FB">
              <w:rPr>
                <w:rFonts w:ascii="Times New Roman" w:hAnsi="Times New Roman"/>
                <w:bCs/>
                <w:spacing w:val="-2"/>
              </w:rPr>
              <w:t>porządkując</w:t>
            </w:r>
            <w:r w:rsidR="002D17FB">
              <w:rPr>
                <w:rFonts w:ascii="Times New Roman" w:hAnsi="Times New Roman"/>
                <w:bCs/>
                <w:spacing w:val="-2"/>
              </w:rPr>
              <w:t>e</w:t>
            </w:r>
            <w:r w:rsidR="002D17FB" w:rsidRPr="002D17FB">
              <w:rPr>
                <w:rFonts w:ascii="Times New Roman" w:hAnsi="Times New Roman"/>
                <w:bCs/>
                <w:spacing w:val="-2"/>
              </w:rPr>
              <w:t xml:space="preserve"> </w:t>
            </w:r>
            <w:r w:rsidRPr="002D17FB">
              <w:rPr>
                <w:rFonts w:ascii="Times New Roman" w:hAnsi="Times New Roman"/>
                <w:bCs/>
                <w:spacing w:val="-2"/>
              </w:rPr>
              <w:t xml:space="preserve">i </w:t>
            </w:r>
            <w:r w:rsidR="002D17FB" w:rsidRPr="002D17FB">
              <w:rPr>
                <w:rFonts w:ascii="Times New Roman" w:hAnsi="Times New Roman"/>
                <w:bCs/>
                <w:spacing w:val="-2"/>
              </w:rPr>
              <w:t>dostosowując</w:t>
            </w:r>
            <w:r w:rsidR="002D17FB">
              <w:rPr>
                <w:rFonts w:ascii="Times New Roman" w:hAnsi="Times New Roman"/>
                <w:bCs/>
                <w:spacing w:val="-2"/>
              </w:rPr>
              <w:t xml:space="preserve">e </w:t>
            </w:r>
            <w:r w:rsidRPr="002D17FB">
              <w:rPr>
                <w:rFonts w:ascii="Times New Roman" w:hAnsi="Times New Roman"/>
                <w:bCs/>
                <w:spacing w:val="-2"/>
              </w:rPr>
              <w:t>do</w:t>
            </w:r>
            <w:r w:rsidR="002D17FB" w:rsidRPr="002D17FB">
              <w:rPr>
                <w:rFonts w:ascii="Times New Roman" w:hAnsi="Times New Roman"/>
                <w:bCs/>
                <w:spacing w:val="-2"/>
              </w:rPr>
              <w:t xml:space="preserve"> wprowadzanych powyżej rozwiązań </w:t>
            </w:r>
            <w:r w:rsidRPr="002D17FB">
              <w:rPr>
                <w:rFonts w:ascii="Times New Roman" w:hAnsi="Times New Roman"/>
                <w:bCs/>
                <w:spacing w:val="-2"/>
              </w:rPr>
              <w:t>w tym przepisów technicznych</w:t>
            </w:r>
            <w:r w:rsidR="00EB4200" w:rsidRPr="002D17FB">
              <w:rPr>
                <w:rFonts w:ascii="Times New Roman" w:hAnsi="Times New Roman"/>
                <w:bCs/>
                <w:spacing w:val="-2"/>
              </w:rPr>
              <w:t xml:space="preserve"> regulujących procedurę importu docelowego </w:t>
            </w:r>
            <w:r w:rsidR="002D17FB" w:rsidRPr="002D17FB">
              <w:rPr>
                <w:rFonts w:ascii="Times New Roman" w:hAnsi="Times New Roman"/>
                <w:bCs/>
                <w:spacing w:val="-2"/>
              </w:rPr>
              <w:t>w ustawie z dnia 6 września 2001 r. – Prawo farmaceutyczne oraz ustawie z dnia 25 sierpnia 2006 r. o bezpieczeństwie żywności i żywienia (Dz. U. z 2023 r. poz. 1448), któr</w:t>
            </w:r>
            <w:r w:rsidR="00250ECA">
              <w:rPr>
                <w:rFonts w:ascii="Times New Roman" w:hAnsi="Times New Roman"/>
                <w:bCs/>
                <w:spacing w:val="-2"/>
              </w:rPr>
              <w:t>ych wprowadzenie</w:t>
            </w:r>
            <w:r w:rsidR="002D17FB" w:rsidRPr="002D17FB">
              <w:rPr>
                <w:rFonts w:ascii="Times New Roman" w:hAnsi="Times New Roman"/>
                <w:bCs/>
                <w:spacing w:val="-2"/>
              </w:rPr>
              <w:t xml:space="preserve"> </w:t>
            </w:r>
            <w:r w:rsidRPr="002D17FB">
              <w:rPr>
                <w:rFonts w:ascii="Times New Roman" w:hAnsi="Times New Roman"/>
                <w:bCs/>
                <w:spacing w:val="-2"/>
              </w:rPr>
              <w:t>umożliwi rozbudowę systemów teleinformatycznych rozszerzających usługi cyfrowe w zakresie zdrowia publicznego</w:t>
            </w:r>
            <w:r w:rsidR="00814749" w:rsidRPr="002D17FB">
              <w:rPr>
                <w:rFonts w:ascii="Times New Roman" w:hAnsi="Times New Roman"/>
                <w:bCs/>
                <w:spacing w:val="-2"/>
              </w:rPr>
              <w:t>;</w:t>
            </w:r>
          </w:p>
          <w:p w14:paraId="68F72C86" w14:textId="39472D94" w:rsidR="007A5557" w:rsidRDefault="00FF62E1" w:rsidP="004663A3">
            <w:pPr>
              <w:numPr>
                <w:ilvl w:val="0"/>
                <w:numId w:val="37"/>
              </w:numPr>
              <w:spacing w:line="240" w:lineRule="auto"/>
              <w:jc w:val="both"/>
              <w:rPr>
                <w:rFonts w:ascii="Times New Roman" w:hAnsi="Times New Roman"/>
                <w:bCs/>
                <w:spacing w:val="-2"/>
              </w:rPr>
            </w:pPr>
            <w:r w:rsidRPr="0095120B">
              <w:rPr>
                <w:rFonts w:ascii="Times New Roman" w:hAnsi="Times New Roman"/>
                <w:bCs/>
                <w:spacing w:val="-2"/>
              </w:rPr>
              <w:t>w</w:t>
            </w:r>
            <w:r w:rsidR="00E61C7A" w:rsidRPr="0095120B">
              <w:rPr>
                <w:rFonts w:ascii="Times New Roman" w:hAnsi="Times New Roman"/>
                <w:bCs/>
                <w:spacing w:val="-2"/>
              </w:rPr>
              <w:t xml:space="preserve"> związku z problemem wskazanym w pkt </w:t>
            </w:r>
            <w:r w:rsidR="00F778B7" w:rsidRPr="0095120B">
              <w:rPr>
                <w:rFonts w:ascii="Times New Roman" w:hAnsi="Times New Roman"/>
                <w:bCs/>
                <w:spacing w:val="-2"/>
              </w:rPr>
              <w:t>2</w:t>
            </w:r>
            <w:r w:rsidR="00F778B7">
              <w:rPr>
                <w:rFonts w:ascii="Times New Roman" w:hAnsi="Times New Roman"/>
                <w:bCs/>
                <w:spacing w:val="-2"/>
              </w:rPr>
              <w:t>6</w:t>
            </w:r>
            <w:r w:rsidR="00F778B7" w:rsidRPr="0095120B">
              <w:rPr>
                <w:rFonts w:ascii="Times New Roman" w:hAnsi="Times New Roman"/>
                <w:bCs/>
                <w:spacing w:val="-2"/>
              </w:rPr>
              <w:t xml:space="preserve"> </w:t>
            </w:r>
            <w:r w:rsidR="00E61C7A" w:rsidRPr="0095120B">
              <w:rPr>
                <w:rFonts w:ascii="Times New Roman" w:hAnsi="Times New Roman"/>
                <w:bCs/>
                <w:spacing w:val="-2"/>
              </w:rPr>
              <w:t>sekcji</w:t>
            </w:r>
            <w:r w:rsidR="00814749" w:rsidRPr="0095120B">
              <w:rPr>
                <w:rFonts w:ascii="Times New Roman" w:hAnsi="Times New Roman"/>
                <w:bCs/>
                <w:spacing w:val="-2"/>
              </w:rPr>
              <w:t xml:space="preserve"> 1</w:t>
            </w:r>
            <w:r w:rsidR="00E61C7A" w:rsidRPr="0095120B">
              <w:rPr>
                <w:rFonts w:ascii="Times New Roman" w:hAnsi="Times New Roman"/>
                <w:bCs/>
                <w:spacing w:val="-2"/>
              </w:rPr>
              <w:t xml:space="preserve"> OSR proponuje się</w:t>
            </w:r>
            <w:bookmarkEnd w:id="4"/>
            <w:r w:rsidR="00E61C7A" w:rsidRPr="0095120B">
              <w:rPr>
                <w:rFonts w:ascii="Times New Roman" w:hAnsi="Times New Roman"/>
                <w:bCs/>
                <w:spacing w:val="-2"/>
              </w:rPr>
              <w:t xml:space="preserve"> podniesienie dolnego limitu marży</w:t>
            </w:r>
            <w:r w:rsidR="00EF5346">
              <w:rPr>
                <w:rFonts w:ascii="Times New Roman" w:hAnsi="Times New Roman"/>
                <w:bCs/>
                <w:spacing w:val="-2"/>
              </w:rPr>
              <w:t>,</w:t>
            </w:r>
            <w:r w:rsidR="00E61C7A" w:rsidRPr="0095120B">
              <w:rPr>
                <w:rFonts w:ascii="Times New Roman" w:hAnsi="Times New Roman"/>
                <w:bCs/>
                <w:spacing w:val="-2"/>
              </w:rPr>
              <w:t xml:space="preserve"> o</w:t>
            </w:r>
            <w:r w:rsidR="00310DE7">
              <w:rPr>
                <w:rFonts w:ascii="Times New Roman" w:hAnsi="Times New Roman"/>
                <w:bCs/>
                <w:spacing w:val="-2"/>
              </w:rPr>
              <w:t> </w:t>
            </w:r>
            <w:r w:rsidR="00E61C7A" w:rsidRPr="0095120B">
              <w:rPr>
                <w:rFonts w:ascii="Times New Roman" w:hAnsi="Times New Roman"/>
                <w:bCs/>
                <w:spacing w:val="-2"/>
              </w:rPr>
              <w:t xml:space="preserve">którym mowa w art. 7 ust. 1 ustawy </w:t>
            </w:r>
            <w:r w:rsidRPr="0095120B">
              <w:rPr>
                <w:rFonts w:ascii="Times New Roman" w:hAnsi="Times New Roman"/>
                <w:bCs/>
                <w:spacing w:val="-2"/>
              </w:rPr>
              <w:t>refundacyjnej</w:t>
            </w:r>
            <w:r w:rsidR="00EF5346">
              <w:rPr>
                <w:rFonts w:ascii="Times New Roman" w:hAnsi="Times New Roman"/>
                <w:bCs/>
                <w:spacing w:val="-2"/>
              </w:rPr>
              <w:t>,</w:t>
            </w:r>
            <w:r w:rsidR="00E61C7A" w:rsidRPr="0095120B">
              <w:rPr>
                <w:rFonts w:ascii="Times New Roman" w:hAnsi="Times New Roman"/>
                <w:bCs/>
                <w:spacing w:val="-2"/>
              </w:rPr>
              <w:t xml:space="preserve"> do </w:t>
            </w:r>
            <w:r w:rsidR="00CF5EFF" w:rsidRPr="0095120B">
              <w:rPr>
                <w:rFonts w:ascii="Times New Roman" w:hAnsi="Times New Roman"/>
                <w:bCs/>
                <w:spacing w:val="-2"/>
              </w:rPr>
              <w:t xml:space="preserve">80 gr </w:t>
            </w:r>
            <w:r w:rsidR="00250ECA">
              <w:rPr>
                <w:rFonts w:ascii="Times New Roman" w:hAnsi="Times New Roman"/>
                <w:bCs/>
                <w:spacing w:val="-2"/>
              </w:rPr>
              <w:t>(</w:t>
            </w:r>
            <w:r w:rsidR="00CF5EFF" w:rsidRPr="0095120B">
              <w:rPr>
                <w:rFonts w:ascii="Times New Roman" w:hAnsi="Times New Roman"/>
                <w:bCs/>
                <w:spacing w:val="-2"/>
              </w:rPr>
              <w:t>z obecnych 50 gr</w:t>
            </w:r>
            <w:r w:rsidR="00250ECA">
              <w:rPr>
                <w:rFonts w:ascii="Times New Roman" w:hAnsi="Times New Roman"/>
                <w:bCs/>
                <w:spacing w:val="-2"/>
              </w:rPr>
              <w:t>)</w:t>
            </w:r>
            <w:r w:rsidR="00814749" w:rsidRPr="0095120B">
              <w:rPr>
                <w:rFonts w:ascii="Times New Roman" w:hAnsi="Times New Roman"/>
                <w:bCs/>
                <w:spacing w:val="-2"/>
              </w:rPr>
              <w:t>;</w:t>
            </w:r>
            <w:r w:rsidR="00CF5EFF" w:rsidRPr="0095120B">
              <w:rPr>
                <w:rFonts w:ascii="Times New Roman" w:hAnsi="Times New Roman"/>
                <w:bCs/>
                <w:spacing w:val="-2"/>
              </w:rPr>
              <w:t xml:space="preserve"> </w:t>
            </w:r>
          </w:p>
          <w:p w14:paraId="47F79E79" w14:textId="1A7B214F" w:rsidR="00432491" w:rsidRDefault="00F778B7" w:rsidP="00F778B7">
            <w:pPr>
              <w:numPr>
                <w:ilvl w:val="0"/>
                <w:numId w:val="37"/>
              </w:numPr>
              <w:spacing w:line="240" w:lineRule="auto"/>
              <w:jc w:val="both"/>
              <w:rPr>
                <w:rFonts w:ascii="Times New Roman" w:hAnsi="Times New Roman"/>
                <w:bCs/>
                <w:spacing w:val="-2"/>
              </w:rPr>
            </w:pPr>
            <w:r w:rsidRPr="00F778B7">
              <w:rPr>
                <w:rFonts w:ascii="Times New Roman" w:hAnsi="Times New Roman"/>
                <w:bCs/>
                <w:spacing w:val="-2"/>
              </w:rPr>
              <w:t>w związku z problemem wskazanym w pkt 2</w:t>
            </w:r>
            <w:r>
              <w:rPr>
                <w:rFonts w:ascii="Times New Roman" w:hAnsi="Times New Roman"/>
                <w:bCs/>
                <w:spacing w:val="-2"/>
              </w:rPr>
              <w:t xml:space="preserve">7 </w:t>
            </w:r>
            <w:r w:rsidR="008000B2" w:rsidRPr="0095120B">
              <w:rPr>
                <w:rFonts w:ascii="Times New Roman" w:hAnsi="Times New Roman"/>
                <w:bCs/>
                <w:spacing w:val="-2"/>
              </w:rPr>
              <w:t xml:space="preserve">sekcji 1 OSR </w:t>
            </w:r>
            <w:r>
              <w:rPr>
                <w:rFonts w:ascii="Times New Roman" w:hAnsi="Times New Roman"/>
                <w:bCs/>
                <w:spacing w:val="-2"/>
              </w:rPr>
              <w:t>proponuje się dodanie w ustawie refundacyjnej art. 25e</w:t>
            </w:r>
            <w:r w:rsidR="00AF45A3">
              <w:rPr>
                <w:rFonts w:ascii="Times New Roman" w:hAnsi="Times New Roman"/>
                <w:bCs/>
                <w:spacing w:val="-2"/>
              </w:rPr>
              <w:t>, celem</w:t>
            </w:r>
            <w:r w:rsidRPr="00F778B7">
              <w:rPr>
                <w:rFonts w:ascii="Times New Roman" w:hAnsi="Times New Roman"/>
                <w:bCs/>
                <w:spacing w:val="-2"/>
              </w:rPr>
              <w:t xml:space="preserve"> umożliwienia Ministrowi Zdrowia, za zgodą podmiotu, na rzecz którego została wydana decyzja o objęciu refundacją leku, środka spożywczego specjalnego przeznaczenia żywieniowego lub wyrobu medycznego, przeniesienia praw i obowiązków wynikających z tej decyzji na inny podmiot</w:t>
            </w:r>
            <w:r w:rsidR="00582E2E">
              <w:rPr>
                <w:rFonts w:ascii="Times New Roman" w:hAnsi="Times New Roman"/>
                <w:bCs/>
                <w:spacing w:val="-2"/>
              </w:rPr>
              <w:t>;</w:t>
            </w:r>
          </w:p>
          <w:p w14:paraId="08529560" w14:textId="58544CCB" w:rsidR="007E27F2" w:rsidRDefault="00582E2E" w:rsidP="00F778B7">
            <w:pPr>
              <w:numPr>
                <w:ilvl w:val="0"/>
                <w:numId w:val="37"/>
              </w:numPr>
              <w:spacing w:line="240" w:lineRule="auto"/>
              <w:jc w:val="both"/>
              <w:rPr>
                <w:rFonts w:ascii="Times New Roman" w:hAnsi="Times New Roman"/>
                <w:bCs/>
                <w:spacing w:val="-2"/>
              </w:rPr>
            </w:pPr>
            <w:r w:rsidRPr="00582E2E">
              <w:rPr>
                <w:rFonts w:ascii="Times New Roman" w:hAnsi="Times New Roman"/>
                <w:bCs/>
                <w:spacing w:val="-2"/>
              </w:rPr>
              <w:t>w związku z problemem wskazanym w pkt 2</w:t>
            </w:r>
            <w:r>
              <w:rPr>
                <w:rFonts w:ascii="Times New Roman" w:hAnsi="Times New Roman"/>
                <w:bCs/>
                <w:spacing w:val="-2"/>
              </w:rPr>
              <w:t>8</w:t>
            </w:r>
            <w:r w:rsidR="008000B2" w:rsidRPr="0095120B">
              <w:rPr>
                <w:rFonts w:ascii="Times New Roman" w:hAnsi="Times New Roman"/>
                <w:bCs/>
                <w:spacing w:val="-2"/>
              </w:rPr>
              <w:t xml:space="preserve"> sekcji 1 OSR</w:t>
            </w:r>
            <w:r w:rsidRPr="00582E2E">
              <w:rPr>
                <w:rFonts w:ascii="Times New Roman" w:hAnsi="Times New Roman"/>
                <w:bCs/>
                <w:spacing w:val="-2"/>
              </w:rPr>
              <w:t xml:space="preserve"> proponuje się</w:t>
            </w:r>
            <w:r>
              <w:rPr>
                <w:rFonts w:ascii="Times New Roman" w:hAnsi="Times New Roman"/>
                <w:bCs/>
                <w:spacing w:val="-2"/>
              </w:rPr>
              <w:t xml:space="preserve"> nadanie nowego brzmienia art. 9 ust. 1 ustawy refundacyjnej</w:t>
            </w:r>
            <w:r w:rsidR="007E27F2">
              <w:rPr>
                <w:rFonts w:ascii="Times New Roman" w:hAnsi="Times New Roman"/>
                <w:bCs/>
                <w:spacing w:val="-2"/>
              </w:rPr>
              <w:t>;</w:t>
            </w:r>
          </w:p>
          <w:p w14:paraId="206EB992" w14:textId="34097D84" w:rsidR="00582E2E" w:rsidRDefault="007E27F2" w:rsidP="00F778B7">
            <w:pPr>
              <w:numPr>
                <w:ilvl w:val="0"/>
                <w:numId w:val="37"/>
              </w:numPr>
              <w:spacing w:line="240" w:lineRule="auto"/>
              <w:jc w:val="both"/>
              <w:rPr>
                <w:rFonts w:ascii="Times New Roman" w:hAnsi="Times New Roman"/>
                <w:bCs/>
                <w:spacing w:val="-2"/>
              </w:rPr>
            </w:pPr>
            <w:r>
              <w:rPr>
                <w:rFonts w:ascii="Times New Roman" w:hAnsi="Times New Roman"/>
                <w:bCs/>
                <w:spacing w:val="-2"/>
              </w:rPr>
              <w:t xml:space="preserve">w </w:t>
            </w:r>
            <w:r w:rsidR="005926BD">
              <w:rPr>
                <w:rFonts w:ascii="Times New Roman" w:hAnsi="Times New Roman"/>
                <w:bCs/>
                <w:spacing w:val="-2"/>
              </w:rPr>
              <w:t>związku</w:t>
            </w:r>
            <w:r>
              <w:rPr>
                <w:rFonts w:ascii="Times New Roman" w:hAnsi="Times New Roman"/>
                <w:bCs/>
                <w:spacing w:val="-2"/>
              </w:rPr>
              <w:t xml:space="preserve"> z problemem wskazanym w pkt 29 </w:t>
            </w:r>
            <w:r w:rsidR="008000B2" w:rsidRPr="0095120B">
              <w:rPr>
                <w:rFonts w:ascii="Times New Roman" w:hAnsi="Times New Roman"/>
                <w:bCs/>
                <w:spacing w:val="-2"/>
              </w:rPr>
              <w:t xml:space="preserve">sekcji 1 OSR </w:t>
            </w:r>
            <w:r>
              <w:rPr>
                <w:rFonts w:ascii="Times New Roman" w:hAnsi="Times New Roman"/>
                <w:bCs/>
                <w:spacing w:val="-2"/>
              </w:rPr>
              <w:t xml:space="preserve">proponuje </w:t>
            </w:r>
            <w:r w:rsidR="00923847">
              <w:rPr>
                <w:rFonts w:ascii="Times New Roman" w:hAnsi="Times New Roman"/>
                <w:bCs/>
                <w:spacing w:val="-2"/>
              </w:rPr>
              <w:t xml:space="preserve">się </w:t>
            </w:r>
            <w:r>
              <w:rPr>
                <w:rFonts w:ascii="Times New Roman" w:hAnsi="Times New Roman"/>
                <w:bCs/>
                <w:spacing w:val="-2"/>
              </w:rPr>
              <w:t>dodanie wyrazu „brutto” po wyrazie „hurtowej</w:t>
            </w:r>
            <w:r w:rsidR="00E73F4D">
              <w:rPr>
                <w:rFonts w:ascii="Times New Roman" w:hAnsi="Times New Roman"/>
                <w:bCs/>
                <w:spacing w:val="-2"/>
              </w:rPr>
              <w:t>”</w:t>
            </w:r>
            <w:r>
              <w:rPr>
                <w:rFonts w:ascii="Times New Roman" w:hAnsi="Times New Roman"/>
                <w:bCs/>
                <w:spacing w:val="-2"/>
              </w:rPr>
              <w:t xml:space="preserve"> w art. 7 ust. 6 i 7 ustawy refundacyjnej;</w:t>
            </w:r>
          </w:p>
          <w:p w14:paraId="3ACC9CD1" w14:textId="0980244F" w:rsidR="008000B2" w:rsidRPr="008000B2" w:rsidRDefault="008000B2" w:rsidP="00F778B7">
            <w:pPr>
              <w:numPr>
                <w:ilvl w:val="0"/>
                <w:numId w:val="37"/>
              </w:numPr>
              <w:spacing w:line="240" w:lineRule="auto"/>
              <w:jc w:val="both"/>
              <w:rPr>
                <w:rFonts w:ascii="Times New Roman" w:hAnsi="Times New Roman"/>
                <w:bCs/>
                <w:spacing w:val="-2"/>
              </w:rPr>
            </w:pPr>
            <w:r>
              <w:rPr>
                <w:rFonts w:ascii="Times New Roman" w:hAnsi="Times New Roman"/>
                <w:bCs/>
                <w:spacing w:val="-2"/>
              </w:rPr>
              <w:t xml:space="preserve">w związku z problemem wskazanym w pkt 30 </w:t>
            </w:r>
            <w:r w:rsidRPr="0095120B">
              <w:rPr>
                <w:rFonts w:ascii="Times New Roman" w:hAnsi="Times New Roman"/>
                <w:bCs/>
                <w:spacing w:val="-2"/>
              </w:rPr>
              <w:t>sekcji 1 OSR</w:t>
            </w:r>
            <w:r>
              <w:rPr>
                <w:rFonts w:ascii="Times New Roman" w:hAnsi="Times New Roman"/>
                <w:bCs/>
                <w:spacing w:val="-2"/>
              </w:rPr>
              <w:t xml:space="preserve">, proponuje się w art. 2 ustawy refundacyjnej wyodrębnić definicję </w:t>
            </w:r>
            <w:r w:rsidR="00923847">
              <w:rPr>
                <w:rFonts w:ascii="Times New Roman" w:hAnsi="Times New Roman"/>
                <w:bCs/>
                <w:spacing w:val="-2"/>
              </w:rPr>
              <w:t>„</w:t>
            </w:r>
            <w:r>
              <w:rPr>
                <w:rFonts w:ascii="Times New Roman" w:hAnsi="Times New Roman"/>
                <w:bCs/>
                <w:spacing w:val="-2"/>
              </w:rPr>
              <w:t>prezentacji wyrobu medycznego</w:t>
            </w:r>
            <w:r w:rsidR="00923847">
              <w:rPr>
                <w:rFonts w:ascii="Times New Roman" w:hAnsi="Times New Roman"/>
                <w:bCs/>
                <w:spacing w:val="-2"/>
              </w:rPr>
              <w:t>”</w:t>
            </w:r>
            <w:r>
              <w:rPr>
                <w:rFonts w:ascii="Times New Roman" w:hAnsi="Times New Roman"/>
                <w:bCs/>
                <w:spacing w:val="-2"/>
              </w:rPr>
              <w:t xml:space="preserve">, w przypadku którego pomijalne będą: </w:t>
            </w:r>
            <w:r w:rsidRPr="00AB7441">
              <w:rPr>
                <w:rFonts w:ascii="Times New Roman" w:hAnsi="Times New Roman"/>
                <w:spacing w:val="-2"/>
              </w:rPr>
              <w:t>dawka, wielkość opakowania, kształt</w:t>
            </w:r>
            <w:r w:rsidR="00923847">
              <w:rPr>
                <w:rFonts w:ascii="Times New Roman" w:hAnsi="Times New Roman"/>
                <w:spacing w:val="-2"/>
              </w:rPr>
              <w:t xml:space="preserve"> wyrobu</w:t>
            </w:r>
            <w:r w:rsidRPr="00AB7441">
              <w:rPr>
                <w:rFonts w:ascii="Times New Roman" w:hAnsi="Times New Roman"/>
                <w:spacing w:val="-2"/>
              </w:rPr>
              <w:t>;</w:t>
            </w:r>
          </w:p>
          <w:p w14:paraId="420CF27E" w14:textId="1E336F07" w:rsidR="008000B2" w:rsidRDefault="001963C6" w:rsidP="00F778B7">
            <w:pPr>
              <w:numPr>
                <w:ilvl w:val="0"/>
                <w:numId w:val="37"/>
              </w:numPr>
              <w:spacing w:line="240" w:lineRule="auto"/>
              <w:jc w:val="both"/>
              <w:rPr>
                <w:rFonts w:ascii="Times New Roman" w:hAnsi="Times New Roman"/>
                <w:bCs/>
                <w:spacing w:val="-2"/>
              </w:rPr>
            </w:pPr>
            <w:r w:rsidRPr="001963C6">
              <w:rPr>
                <w:rFonts w:ascii="Times New Roman" w:hAnsi="Times New Roman"/>
                <w:bCs/>
                <w:spacing w:val="-2"/>
              </w:rPr>
              <w:t>w związku z problemem wskazanym w pkt 3</w:t>
            </w:r>
            <w:r>
              <w:rPr>
                <w:rFonts w:ascii="Times New Roman" w:hAnsi="Times New Roman"/>
                <w:bCs/>
                <w:spacing w:val="-2"/>
              </w:rPr>
              <w:t>1</w:t>
            </w:r>
            <w:r w:rsidRPr="001963C6">
              <w:rPr>
                <w:rFonts w:ascii="Times New Roman" w:hAnsi="Times New Roman"/>
                <w:bCs/>
                <w:spacing w:val="-2"/>
              </w:rPr>
              <w:t xml:space="preserve"> sekcji 1 OSR,</w:t>
            </w:r>
            <w:r>
              <w:rPr>
                <w:rFonts w:ascii="Times New Roman" w:hAnsi="Times New Roman"/>
                <w:bCs/>
                <w:spacing w:val="-2"/>
              </w:rPr>
              <w:t xml:space="preserve"> </w:t>
            </w:r>
            <w:r w:rsidR="00923847">
              <w:rPr>
                <w:rFonts w:ascii="Times New Roman" w:hAnsi="Times New Roman"/>
                <w:bCs/>
                <w:spacing w:val="-2"/>
              </w:rPr>
              <w:t xml:space="preserve">proponuje </w:t>
            </w:r>
            <w:r w:rsidR="004818F3">
              <w:rPr>
                <w:rFonts w:ascii="Times New Roman" w:hAnsi="Times New Roman"/>
                <w:bCs/>
                <w:spacing w:val="-2"/>
              </w:rPr>
              <w:t xml:space="preserve"> </w:t>
            </w:r>
            <w:r w:rsidR="001F38FB">
              <w:rPr>
                <w:rFonts w:ascii="Times New Roman" w:hAnsi="Times New Roman"/>
                <w:bCs/>
                <w:spacing w:val="-2"/>
              </w:rPr>
              <w:t>uzupełnić przepis</w:t>
            </w:r>
            <w:r>
              <w:rPr>
                <w:rFonts w:ascii="Times New Roman" w:hAnsi="Times New Roman"/>
                <w:bCs/>
                <w:spacing w:val="-2"/>
              </w:rPr>
              <w:t xml:space="preserve"> art. 11 ust. 12</w:t>
            </w:r>
            <w:r w:rsidR="00923847">
              <w:rPr>
                <w:rFonts w:ascii="Times New Roman" w:hAnsi="Times New Roman"/>
                <w:bCs/>
                <w:spacing w:val="-2"/>
              </w:rPr>
              <w:t xml:space="preserve"> ustawy refundacyjnej</w:t>
            </w:r>
            <w:r>
              <w:rPr>
                <w:rFonts w:ascii="Times New Roman" w:hAnsi="Times New Roman"/>
                <w:bCs/>
                <w:spacing w:val="-2"/>
              </w:rPr>
              <w:t xml:space="preserve"> w taki sposób, aby </w:t>
            </w:r>
            <w:r w:rsidR="00923847">
              <w:rPr>
                <w:rFonts w:ascii="Times New Roman" w:hAnsi="Times New Roman"/>
                <w:bCs/>
                <w:spacing w:val="-2"/>
              </w:rPr>
              <w:t>M</w:t>
            </w:r>
            <w:r>
              <w:rPr>
                <w:rFonts w:ascii="Times New Roman" w:hAnsi="Times New Roman"/>
                <w:bCs/>
                <w:spacing w:val="-2"/>
              </w:rPr>
              <w:t xml:space="preserve">inister </w:t>
            </w:r>
            <w:r w:rsidR="00923847">
              <w:rPr>
                <w:rFonts w:ascii="Times New Roman" w:hAnsi="Times New Roman"/>
                <w:bCs/>
                <w:spacing w:val="-2"/>
              </w:rPr>
              <w:t>Z</w:t>
            </w:r>
            <w:r>
              <w:rPr>
                <w:rFonts w:ascii="Times New Roman" w:hAnsi="Times New Roman"/>
                <w:bCs/>
                <w:spacing w:val="-2"/>
              </w:rPr>
              <w:t xml:space="preserve">drowia przekazywał kopie decyzji również realizatorowi programu polityki </w:t>
            </w:r>
            <w:r w:rsidR="005956DA">
              <w:rPr>
                <w:rFonts w:ascii="Times New Roman" w:hAnsi="Times New Roman"/>
                <w:bCs/>
                <w:spacing w:val="-2"/>
              </w:rPr>
              <w:t>zdrowotnej,</w:t>
            </w:r>
            <w:r>
              <w:rPr>
                <w:rFonts w:ascii="Times New Roman" w:hAnsi="Times New Roman"/>
                <w:bCs/>
                <w:spacing w:val="-2"/>
              </w:rPr>
              <w:t xml:space="preserve"> jeżeli taka decyzja </w:t>
            </w:r>
            <w:r w:rsidR="00250ECA">
              <w:rPr>
                <w:rFonts w:ascii="Times New Roman" w:hAnsi="Times New Roman"/>
                <w:bCs/>
                <w:spacing w:val="-2"/>
              </w:rPr>
              <w:t xml:space="preserve">będzie go </w:t>
            </w:r>
            <w:r>
              <w:rPr>
                <w:rFonts w:ascii="Times New Roman" w:hAnsi="Times New Roman"/>
                <w:bCs/>
                <w:spacing w:val="-2"/>
              </w:rPr>
              <w:t>dotyczyła</w:t>
            </w:r>
            <w:r w:rsidR="00E73F4D">
              <w:rPr>
                <w:rFonts w:ascii="Times New Roman" w:hAnsi="Times New Roman"/>
                <w:bCs/>
                <w:spacing w:val="-2"/>
              </w:rPr>
              <w:t>;</w:t>
            </w:r>
            <w:r>
              <w:rPr>
                <w:rFonts w:ascii="Times New Roman" w:hAnsi="Times New Roman"/>
                <w:bCs/>
                <w:spacing w:val="-2"/>
              </w:rPr>
              <w:t xml:space="preserve"> </w:t>
            </w:r>
          </w:p>
          <w:p w14:paraId="769A3EF4" w14:textId="654118C8" w:rsidR="001963C6" w:rsidRDefault="001C7F28" w:rsidP="00F778B7">
            <w:pPr>
              <w:numPr>
                <w:ilvl w:val="0"/>
                <w:numId w:val="37"/>
              </w:numPr>
              <w:spacing w:line="240" w:lineRule="auto"/>
              <w:jc w:val="both"/>
              <w:rPr>
                <w:rFonts w:ascii="Times New Roman" w:hAnsi="Times New Roman"/>
                <w:bCs/>
                <w:spacing w:val="-2"/>
              </w:rPr>
            </w:pPr>
            <w:r w:rsidRPr="001C7F28">
              <w:rPr>
                <w:rFonts w:ascii="Times New Roman" w:hAnsi="Times New Roman"/>
                <w:bCs/>
                <w:spacing w:val="-2"/>
              </w:rPr>
              <w:t>w związku z problemem wskazanym w pkt 3</w:t>
            </w:r>
            <w:r>
              <w:rPr>
                <w:rFonts w:ascii="Times New Roman" w:hAnsi="Times New Roman"/>
                <w:bCs/>
                <w:spacing w:val="-2"/>
              </w:rPr>
              <w:t>2</w:t>
            </w:r>
            <w:r w:rsidRPr="001C7F28">
              <w:rPr>
                <w:rFonts w:ascii="Times New Roman" w:hAnsi="Times New Roman"/>
                <w:bCs/>
                <w:spacing w:val="-2"/>
              </w:rPr>
              <w:t xml:space="preserve"> sekcji 1 OSR</w:t>
            </w:r>
            <w:r>
              <w:rPr>
                <w:rFonts w:ascii="Times New Roman" w:hAnsi="Times New Roman"/>
                <w:bCs/>
                <w:spacing w:val="-2"/>
              </w:rPr>
              <w:t xml:space="preserve"> proponuje się następujące zmiany</w:t>
            </w:r>
            <w:r w:rsidR="005926BD">
              <w:rPr>
                <w:rFonts w:ascii="Times New Roman" w:hAnsi="Times New Roman"/>
                <w:bCs/>
                <w:spacing w:val="-2"/>
              </w:rPr>
              <w:t xml:space="preserve"> w art. 13 ustawy refundacyjnej</w:t>
            </w:r>
            <w:r>
              <w:rPr>
                <w:rFonts w:ascii="Times New Roman" w:hAnsi="Times New Roman"/>
                <w:bCs/>
                <w:spacing w:val="-2"/>
              </w:rPr>
              <w:t>:</w:t>
            </w:r>
          </w:p>
          <w:p w14:paraId="1ABC4963" w14:textId="36372EAB" w:rsidR="001C7F28" w:rsidRDefault="00C625D6" w:rsidP="001C7F28">
            <w:pPr>
              <w:numPr>
                <w:ilvl w:val="1"/>
                <w:numId w:val="37"/>
              </w:numPr>
              <w:spacing w:line="240" w:lineRule="auto"/>
              <w:jc w:val="both"/>
              <w:rPr>
                <w:rFonts w:ascii="Times New Roman" w:hAnsi="Times New Roman"/>
                <w:bCs/>
                <w:spacing w:val="-2"/>
              </w:rPr>
            </w:pPr>
            <w:r>
              <w:rPr>
                <w:rFonts w:ascii="Times New Roman" w:hAnsi="Times New Roman"/>
                <w:bCs/>
                <w:spacing w:val="-2"/>
              </w:rPr>
              <w:t>zapisanie przepisów w taki sposób, aby</w:t>
            </w:r>
            <w:r w:rsidR="001C7F28">
              <w:rPr>
                <w:rFonts w:ascii="Times New Roman" w:hAnsi="Times New Roman"/>
                <w:bCs/>
                <w:spacing w:val="-2"/>
              </w:rPr>
              <w:t xml:space="preserve"> lek ref</w:t>
            </w:r>
            <w:r w:rsidR="00923847">
              <w:rPr>
                <w:rFonts w:ascii="Times New Roman" w:hAnsi="Times New Roman"/>
                <w:bCs/>
                <w:spacing w:val="-2"/>
              </w:rPr>
              <w:t>ero</w:t>
            </w:r>
            <w:r w:rsidR="001C7F28">
              <w:rPr>
                <w:rFonts w:ascii="Times New Roman" w:hAnsi="Times New Roman"/>
                <w:bCs/>
                <w:spacing w:val="-2"/>
              </w:rPr>
              <w:t xml:space="preserve">wał do ceny zbytu netto najtańszej swojej prezentacji znajdującej się już </w:t>
            </w:r>
            <w:r w:rsidR="00404501">
              <w:rPr>
                <w:rFonts w:ascii="Times New Roman" w:hAnsi="Times New Roman"/>
                <w:bCs/>
                <w:spacing w:val="-2"/>
              </w:rPr>
              <w:t xml:space="preserve">w </w:t>
            </w:r>
            <w:r w:rsidR="001C7F28">
              <w:rPr>
                <w:rFonts w:ascii="Times New Roman" w:hAnsi="Times New Roman"/>
                <w:bCs/>
                <w:spacing w:val="-2"/>
              </w:rPr>
              <w:t>wykazie, o którym mowa w art. 37 ust. 1</w:t>
            </w:r>
            <w:r>
              <w:rPr>
                <w:rFonts w:ascii="Times New Roman" w:hAnsi="Times New Roman"/>
                <w:bCs/>
                <w:spacing w:val="-2"/>
              </w:rPr>
              <w:t>,</w:t>
            </w:r>
          </w:p>
          <w:p w14:paraId="20364CA0" w14:textId="444E37F4" w:rsidR="001C7F28" w:rsidRDefault="00C625D6" w:rsidP="001C7F28">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zaimplementowanie rozwiązania, zgodnie z którym </w:t>
            </w:r>
            <w:r w:rsidR="001C7F28">
              <w:rPr>
                <w:rFonts w:ascii="Times New Roman" w:hAnsi="Times New Roman"/>
                <w:bCs/>
                <w:spacing w:val="-2"/>
              </w:rPr>
              <w:t xml:space="preserve">w przypadku, kiedy w danej grupie </w:t>
            </w:r>
            <w:r w:rsidR="005926BD">
              <w:rPr>
                <w:rFonts w:ascii="Times New Roman" w:hAnsi="Times New Roman"/>
                <w:bCs/>
                <w:spacing w:val="-2"/>
              </w:rPr>
              <w:t xml:space="preserve">limitowej </w:t>
            </w:r>
            <w:r w:rsidR="001C7F28">
              <w:rPr>
                <w:rFonts w:ascii="Times New Roman" w:hAnsi="Times New Roman"/>
                <w:bCs/>
                <w:spacing w:val="-2"/>
              </w:rPr>
              <w:t>był już historycznie lek ze statusem pierwszego odpowiednika, ale</w:t>
            </w:r>
            <w:r w:rsidR="005926BD">
              <w:rPr>
                <w:rFonts w:ascii="Times New Roman" w:hAnsi="Times New Roman"/>
                <w:bCs/>
                <w:spacing w:val="-2"/>
              </w:rPr>
              <w:t xml:space="preserve"> obecnie w tej grupie limitowej pozostaje tylko jed</w:t>
            </w:r>
            <w:r w:rsidR="00923847">
              <w:rPr>
                <w:rFonts w:ascii="Times New Roman" w:hAnsi="Times New Roman"/>
                <w:bCs/>
                <w:spacing w:val="-2"/>
              </w:rPr>
              <w:t>e</w:t>
            </w:r>
            <w:r w:rsidR="005926BD">
              <w:rPr>
                <w:rFonts w:ascii="Times New Roman" w:hAnsi="Times New Roman"/>
                <w:bCs/>
                <w:spacing w:val="-2"/>
              </w:rPr>
              <w:t xml:space="preserve">n lek z daną substancją czynną, to lek z tą </w:t>
            </w:r>
            <w:r>
              <w:rPr>
                <w:rFonts w:ascii="Times New Roman" w:hAnsi="Times New Roman"/>
                <w:bCs/>
                <w:spacing w:val="-2"/>
              </w:rPr>
              <w:t>substancją mający</w:t>
            </w:r>
            <w:r w:rsidR="005926BD">
              <w:rPr>
                <w:rFonts w:ascii="Times New Roman" w:hAnsi="Times New Roman"/>
                <w:bCs/>
                <w:spacing w:val="-2"/>
              </w:rPr>
              <w:t xml:space="preserve"> wejść do tej grupy limitowej</w:t>
            </w:r>
            <w:r>
              <w:rPr>
                <w:rFonts w:ascii="Times New Roman" w:hAnsi="Times New Roman"/>
                <w:bCs/>
                <w:spacing w:val="-2"/>
              </w:rPr>
              <w:t>,</w:t>
            </w:r>
            <w:r w:rsidR="005926BD">
              <w:rPr>
                <w:rFonts w:ascii="Times New Roman" w:hAnsi="Times New Roman"/>
                <w:bCs/>
                <w:spacing w:val="-2"/>
              </w:rPr>
              <w:t xml:space="preserve"> będzie musiał mieć cenę odpowiednika wyznaczającego podstawę limitu finansowania</w:t>
            </w:r>
            <w:r>
              <w:rPr>
                <w:rFonts w:ascii="Times New Roman" w:hAnsi="Times New Roman"/>
                <w:bCs/>
                <w:spacing w:val="-2"/>
              </w:rPr>
              <w:t>,</w:t>
            </w:r>
          </w:p>
          <w:p w14:paraId="58F6973E" w14:textId="60E2D6F0" w:rsidR="005926BD" w:rsidRDefault="005926BD" w:rsidP="001C7F28">
            <w:pPr>
              <w:numPr>
                <w:ilvl w:val="1"/>
                <w:numId w:val="37"/>
              </w:numPr>
              <w:spacing w:line="240" w:lineRule="auto"/>
              <w:jc w:val="both"/>
              <w:rPr>
                <w:rFonts w:ascii="Times New Roman" w:hAnsi="Times New Roman"/>
                <w:bCs/>
                <w:spacing w:val="-2"/>
              </w:rPr>
            </w:pPr>
            <w:r>
              <w:rPr>
                <w:rFonts w:ascii="Times New Roman" w:hAnsi="Times New Roman"/>
                <w:bCs/>
                <w:spacing w:val="-2"/>
              </w:rPr>
              <w:t>przywr</w:t>
            </w:r>
            <w:r w:rsidR="00C625D6">
              <w:rPr>
                <w:rFonts w:ascii="Times New Roman" w:hAnsi="Times New Roman"/>
                <w:bCs/>
                <w:spacing w:val="-2"/>
              </w:rPr>
              <w:t>ócenie</w:t>
            </w:r>
            <w:r>
              <w:rPr>
                <w:rFonts w:ascii="Times New Roman" w:hAnsi="Times New Roman"/>
                <w:bCs/>
                <w:spacing w:val="-2"/>
              </w:rPr>
              <w:t xml:space="preserve"> </w:t>
            </w:r>
            <w:r w:rsidR="00C625D6">
              <w:rPr>
                <w:rFonts w:ascii="Times New Roman" w:hAnsi="Times New Roman"/>
                <w:bCs/>
                <w:spacing w:val="-2"/>
              </w:rPr>
              <w:t xml:space="preserve">ust. 6a wcześniejszego brzmienia przepisu, przez dopisanie </w:t>
            </w:r>
            <w:r>
              <w:rPr>
                <w:rFonts w:ascii="Times New Roman" w:hAnsi="Times New Roman"/>
                <w:bCs/>
                <w:spacing w:val="-2"/>
              </w:rPr>
              <w:t>wyraz</w:t>
            </w:r>
            <w:r w:rsidR="00C625D6">
              <w:rPr>
                <w:rFonts w:ascii="Times New Roman" w:hAnsi="Times New Roman"/>
                <w:bCs/>
                <w:spacing w:val="-2"/>
              </w:rPr>
              <w:t>ów</w:t>
            </w:r>
            <w:r>
              <w:rPr>
                <w:rFonts w:ascii="Times New Roman" w:hAnsi="Times New Roman"/>
                <w:bCs/>
                <w:spacing w:val="-2"/>
              </w:rPr>
              <w:t xml:space="preserve"> „w danym wskazaniu”</w:t>
            </w:r>
            <w:r w:rsidR="00BF685A">
              <w:rPr>
                <w:rFonts w:ascii="Times New Roman" w:hAnsi="Times New Roman"/>
                <w:bCs/>
                <w:spacing w:val="-2"/>
              </w:rPr>
              <w:t>, aby usunąć pojawiające się wątpliwości interpretacyjne co do zakresu powyższego przepisu</w:t>
            </w:r>
            <w:r w:rsidR="00E73F4D">
              <w:rPr>
                <w:rFonts w:ascii="Times New Roman" w:hAnsi="Times New Roman"/>
                <w:bCs/>
                <w:spacing w:val="-2"/>
              </w:rPr>
              <w:t>;</w:t>
            </w:r>
          </w:p>
          <w:p w14:paraId="6099F2B3" w14:textId="1198E69C" w:rsidR="005926BD" w:rsidRDefault="004B3C1E" w:rsidP="004B3C1E">
            <w:pPr>
              <w:numPr>
                <w:ilvl w:val="0"/>
                <w:numId w:val="37"/>
              </w:numPr>
              <w:spacing w:line="240" w:lineRule="auto"/>
              <w:jc w:val="both"/>
              <w:rPr>
                <w:rFonts w:ascii="Times New Roman" w:hAnsi="Times New Roman"/>
                <w:bCs/>
                <w:spacing w:val="-2"/>
              </w:rPr>
            </w:pPr>
            <w:r w:rsidRPr="004B3C1E">
              <w:rPr>
                <w:rFonts w:ascii="Times New Roman" w:hAnsi="Times New Roman"/>
                <w:bCs/>
                <w:spacing w:val="-2"/>
              </w:rPr>
              <w:t>w związku z problemem wskazanym w pkt 3</w:t>
            </w:r>
            <w:r>
              <w:rPr>
                <w:rFonts w:ascii="Times New Roman" w:hAnsi="Times New Roman"/>
                <w:bCs/>
                <w:spacing w:val="-2"/>
              </w:rPr>
              <w:t>3</w:t>
            </w:r>
            <w:r w:rsidRPr="004B3C1E">
              <w:rPr>
                <w:rFonts w:ascii="Times New Roman" w:hAnsi="Times New Roman"/>
                <w:bCs/>
                <w:spacing w:val="-2"/>
              </w:rPr>
              <w:t xml:space="preserve"> sekcji 1 OSR proponuje się następujące zmiany</w:t>
            </w:r>
            <w:r>
              <w:rPr>
                <w:rFonts w:ascii="Times New Roman" w:hAnsi="Times New Roman"/>
                <w:bCs/>
                <w:spacing w:val="-2"/>
              </w:rPr>
              <w:t xml:space="preserve"> w art. 13a</w:t>
            </w:r>
            <w:r w:rsidR="00250ECA">
              <w:rPr>
                <w:rFonts w:ascii="Times New Roman" w:hAnsi="Times New Roman"/>
                <w:bCs/>
                <w:spacing w:val="-2"/>
              </w:rPr>
              <w:t xml:space="preserve"> ustawy refundacyjnej</w:t>
            </w:r>
            <w:r>
              <w:rPr>
                <w:rFonts w:ascii="Times New Roman" w:hAnsi="Times New Roman"/>
                <w:bCs/>
                <w:spacing w:val="-2"/>
              </w:rPr>
              <w:t>:</w:t>
            </w:r>
          </w:p>
          <w:p w14:paraId="783C2193" w14:textId="25B42BAD" w:rsidR="004B3C1E" w:rsidRDefault="004B3C1E" w:rsidP="004B3C1E">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przeniesienie </w:t>
            </w:r>
            <w:r w:rsidR="00266156">
              <w:rPr>
                <w:rFonts w:ascii="Times New Roman" w:hAnsi="Times New Roman"/>
                <w:bCs/>
                <w:spacing w:val="-2"/>
              </w:rPr>
              <w:t xml:space="preserve">preferencji </w:t>
            </w:r>
            <w:r w:rsidR="00266156" w:rsidRPr="00266156">
              <w:rPr>
                <w:rFonts w:ascii="Times New Roman" w:hAnsi="Times New Roman"/>
                <w:bCs/>
                <w:spacing w:val="-2"/>
              </w:rPr>
              <w:t>zwolnienia z obowiązku zapłaty kwoty przekroczenia w przypadku przekroczenia całkowitego budżetu na refundację, o którym mowa w</w:t>
            </w:r>
            <w:r w:rsidR="00191039">
              <w:rPr>
                <w:rFonts w:ascii="Times New Roman" w:hAnsi="Times New Roman"/>
                <w:bCs/>
                <w:spacing w:val="-2"/>
              </w:rPr>
              <w:t xml:space="preserve"> </w:t>
            </w:r>
            <w:r w:rsidR="00191039" w:rsidRPr="00191039">
              <w:rPr>
                <w:rFonts w:ascii="Times New Roman" w:hAnsi="Times New Roman"/>
                <w:bCs/>
                <w:spacing w:val="-2"/>
              </w:rPr>
              <w:t>art. 4</w:t>
            </w:r>
            <w:r w:rsidR="00BF685A">
              <w:rPr>
                <w:rFonts w:ascii="Times New Roman" w:hAnsi="Times New Roman"/>
                <w:bCs/>
                <w:spacing w:val="-2"/>
              </w:rPr>
              <w:t xml:space="preserve"> ustawy </w:t>
            </w:r>
            <w:r w:rsidR="005E3E4F">
              <w:rPr>
                <w:rFonts w:ascii="Times New Roman" w:hAnsi="Times New Roman"/>
                <w:bCs/>
                <w:spacing w:val="-2"/>
              </w:rPr>
              <w:t xml:space="preserve">refundacyjnej </w:t>
            </w:r>
            <w:r w:rsidR="00250ECA">
              <w:rPr>
                <w:rFonts w:ascii="Times New Roman" w:hAnsi="Times New Roman"/>
                <w:bCs/>
                <w:spacing w:val="-2"/>
              </w:rPr>
              <w:t>(</w:t>
            </w:r>
            <w:r w:rsidR="00BF685A">
              <w:rPr>
                <w:rFonts w:ascii="Times New Roman" w:hAnsi="Times New Roman"/>
                <w:bCs/>
                <w:spacing w:val="-2"/>
              </w:rPr>
              <w:t>która to obecnie znajduje się w preferencjach administracyjnych</w:t>
            </w:r>
            <w:r w:rsidR="00250ECA">
              <w:rPr>
                <w:rFonts w:ascii="Times New Roman" w:hAnsi="Times New Roman"/>
                <w:bCs/>
                <w:spacing w:val="-2"/>
              </w:rPr>
              <w:t>)</w:t>
            </w:r>
            <w:r w:rsidR="00266156">
              <w:rPr>
                <w:rFonts w:ascii="Times New Roman" w:hAnsi="Times New Roman"/>
                <w:bCs/>
                <w:spacing w:val="-2"/>
              </w:rPr>
              <w:t xml:space="preserve"> do </w:t>
            </w:r>
            <w:r w:rsidR="00BF685A">
              <w:rPr>
                <w:rFonts w:ascii="Times New Roman" w:hAnsi="Times New Roman"/>
                <w:bCs/>
                <w:spacing w:val="-2"/>
              </w:rPr>
              <w:t xml:space="preserve">katalogu </w:t>
            </w:r>
            <w:r w:rsidR="00266156">
              <w:rPr>
                <w:rFonts w:ascii="Times New Roman" w:hAnsi="Times New Roman"/>
                <w:bCs/>
                <w:spacing w:val="-2"/>
              </w:rPr>
              <w:t>preferencji ekonomicznych</w:t>
            </w:r>
            <w:r w:rsidR="00AD3916">
              <w:rPr>
                <w:rFonts w:ascii="Times New Roman" w:hAnsi="Times New Roman"/>
                <w:bCs/>
                <w:spacing w:val="-2"/>
              </w:rPr>
              <w:t>,</w:t>
            </w:r>
          </w:p>
          <w:p w14:paraId="2E1A9237" w14:textId="29D24E40" w:rsidR="00250ECA" w:rsidRDefault="00C625D6" w:rsidP="004B3C1E">
            <w:pPr>
              <w:numPr>
                <w:ilvl w:val="1"/>
                <w:numId w:val="37"/>
              </w:numPr>
              <w:spacing w:line="240" w:lineRule="auto"/>
              <w:jc w:val="both"/>
              <w:rPr>
                <w:rFonts w:ascii="Times New Roman" w:hAnsi="Times New Roman"/>
                <w:bCs/>
                <w:spacing w:val="-2"/>
              </w:rPr>
            </w:pPr>
            <w:r>
              <w:rPr>
                <w:rFonts w:ascii="Times New Roman" w:hAnsi="Times New Roman"/>
                <w:bCs/>
                <w:spacing w:val="-2"/>
              </w:rPr>
              <w:t>d</w:t>
            </w:r>
            <w:r w:rsidR="00266156">
              <w:rPr>
                <w:rFonts w:ascii="Times New Roman" w:hAnsi="Times New Roman"/>
                <w:bCs/>
                <w:spacing w:val="-2"/>
              </w:rPr>
              <w:t>oprecyzowanie brzmienia</w:t>
            </w:r>
            <w:r w:rsidR="00250ECA">
              <w:rPr>
                <w:rFonts w:ascii="Times New Roman" w:hAnsi="Times New Roman"/>
                <w:bCs/>
                <w:spacing w:val="-2"/>
              </w:rPr>
              <w:t xml:space="preserve"> przepisu</w:t>
            </w:r>
            <w:r w:rsidR="00266156">
              <w:rPr>
                <w:rFonts w:ascii="Times New Roman" w:hAnsi="Times New Roman"/>
                <w:bCs/>
                <w:spacing w:val="-2"/>
              </w:rPr>
              <w:t>,</w:t>
            </w:r>
            <w:r w:rsidR="00250ECA">
              <w:rPr>
                <w:rFonts w:ascii="Times New Roman" w:hAnsi="Times New Roman"/>
                <w:bCs/>
                <w:spacing w:val="-2"/>
              </w:rPr>
              <w:t xml:space="preserve"> aby wykluczyć wątpliwości interpretacyjne,</w:t>
            </w:r>
            <w:r w:rsidR="00266156">
              <w:rPr>
                <w:rFonts w:ascii="Times New Roman" w:hAnsi="Times New Roman"/>
                <w:bCs/>
                <w:spacing w:val="-2"/>
              </w:rPr>
              <w:t xml:space="preserve"> </w:t>
            </w:r>
          </w:p>
          <w:p w14:paraId="1501F7DC" w14:textId="499DBE96" w:rsidR="00AD3916" w:rsidRDefault="00250ECA" w:rsidP="004B3C1E">
            <w:pPr>
              <w:numPr>
                <w:ilvl w:val="1"/>
                <w:numId w:val="37"/>
              </w:numPr>
              <w:spacing w:line="240" w:lineRule="auto"/>
              <w:jc w:val="both"/>
              <w:rPr>
                <w:rFonts w:ascii="Times New Roman" w:hAnsi="Times New Roman"/>
                <w:bCs/>
                <w:spacing w:val="-2"/>
              </w:rPr>
            </w:pPr>
            <w:r>
              <w:rPr>
                <w:rFonts w:ascii="Times New Roman" w:hAnsi="Times New Roman"/>
                <w:bCs/>
                <w:spacing w:val="-2"/>
              </w:rPr>
              <w:t>wyłącz</w:t>
            </w:r>
            <w:r w:rsidR="00E73F4D">
              <w:rPr>
                <w:rFonts w:ascii="Times New Roman" w:hAnsi="Times New Roman"/>
                <w:bCs/>
                <w:spacing w:val="-2"/>
              </w:rPr>
              <w:t>enie</w:t>
            </w:r>
            <w:r>
              <w:rPr>
                <w:rFonts w:ascii="Times New Roman" w:hAnsi="Times New Roman"/>
                <w:bCs/>
                <w:spacing w:val="-2"/>
              </w:rPr>
              <w:t xml:space="preserve"> </w:t>
            </w:r>
            <w:r w:rsidR="00266156">
              <w:rPr>
                <w:rFonts w:ascii="Times New Roman" w:hAnsi="Times New Roman"/>
                <w:bCs/>
                <w:spacing w:val="-2"/>
              </w:rPr>
              <w:t>możliwości zastosowania preferencji</w:t>
            </w:r>
            <w:r>
              <w:rPr>
                <w:rFonts w:ascii="Times New Roman" w:hAnsi="Times New Roman"/>
                <w:bCs/>
                <w:spacing w:val="-2"/>
              </w:rPr>
              <w:t xml:space="preserve"> polegającej na zwolnieniu </w:t>
            </w:r>
            <w:r w:rsidRPr="00250ECA">
              <w:rPr>
                <w:rFonts w:ascii="Times New Roman" w:hAnsi="Times New Roman"/>
                <w:bCs/>
                <w:spacing w:val="-2"/>
              </w:rPr>
              <w:t>zwolnienia z negocjacji cenowych z Komisją Ekonomiczną</w:t>
            </w:r>
            <w:r>
              <w:rPr>
                <w:rFonts w:ascii="Times New Roman" w:hAnsi="Times New Roman"/>
                <w:bCs/>
                <w:spacing w:val="-2"/>
              </w:rPr>
              <w:t xml:space="preserve"> dla k</w:t>
            </w:r>
            <w:r w:rsidRPr="00250ECA">
              <w:rPr>
                <w:rFonts w:ascii="Times New Roman" w:hAnsi="Times New Roman"/>
                <w:bCs/>
                <w:spacing w:val="-2"/>
              </w:rPr>
              <w:t>tóry nie ma odpowiednika refundowanego w danym wskazaniu</w:t>
            </w:r>
            <w:r w:rsidR="00AD3916">
              <w:rPr>
                <w:rFonts w:ascii="Times New Roman" w:hAnsi="Times New Roman"/>
                <w:bCs/>
                <w:spacing w:val="-2"/>
              </w:rPr>
              <w:t>;</w:t>
            </w:r>
          </w:p>
          <w:p w14:paraId="21A86812" w14:textId="14086FE7" w:rsidR="00266156" w:rsidRDefault="00266156" w:rsidP="00AD3916">
            <w:pPr>
              <w:numPr>
                <w:ilvl w:val="0"/>
                <w:numId w:val="37"/>
              </w:numPr>
              <w:spacing w:line="240" w:lineRule="auto"/>
              <w:jc w:val="both"/>
              <w:rPr>
                <w:rFonts w:ascii="Times New Roman" w:hAnsi="Times New Roman"/>
                <w:bCs/>
                <w:spacing w:val="-2"/>
              </w:rPr>
            </w:pPr>
            <w:r>
              <w:rPr>
                <w:rFonts w:ascii="Times New Roman" w:hAnsi="Times New Roman"/>
                <w:bCs/>
                <w:spacing w:val="-2"/>
              </w:rPr>
              <w:t xml:space="preserve"> </w:t>
            </w:r>
            <w:r w:rsidR="003065DC" w:rsidRPr="003065DC">
              <w:rPr>
                <w:rFonts w:ascii="Times New Roman" w:hAnsi="Times New Roman"/>
                <w:bCs/>
                <w:spacing w:val="-2"/>
              </w:rPr>
              <w:t>w związku z problemem wskazanym w pkt 3</w:t>
            </w:r>
            <w:r w:rsidR="003065DC">
              <w:rPr>
                <w:rFonts w:ascii="Times New Roman" w:hAnsi="Times New Roman"/>
                <w:bCs/>
                <w:spacing w:val="-2"/>
              </w:rPr>
              <w:t>4</w:t>
            </w:r>
            <w:r w:rsidR="003065DC" w:rsidRPr="003065DC">
              <w:rPr>
                <w:rFonts w:ascii="Times New Roman" w:hAnsi="Times New Roman"/>
                <w:bCs/>
                <w:spacing w:val="-2"/>
              </w:rPr>
              <w:t xml:space="preserve"> sekcji 1 OSR</w:t>
            </w:r>
            <w:r w:rsidR="003065DC">
              <w:rPr>
                <w:rFonts w:ascii="Times New Roman" w:hAnsi="Times New Roman"/>
                <w:bCs/>
                <w:spacing w:val="-2"/>
              </w:rPr>
              <w:t xml:space="preserve"> </w:t>
            </w:r>
            <w:r w:rsidR="00233DAE">
              <w:rPr>
                <w:rFonts w:ascii="Times New Roman" w:hAnsi="Times New Roman"/>
                <w:bCs/>
                <w:spacing w:val="-2"/>
              </w:rPr>
              <w:t xml:space="preserve">proponuje się </w:t>
            </w:r>
            <w:r w:rsidR="003065DC">
              <w:rPr>
                <w:rFonts w:ascii="Times New Roman" w:hAnsi="Times New Roman"/>
                <w:bCs/>
                <w:spacing w:val="-2"/>
              </w:rPr>
              <w:t xml:space="preserve">wprowadzić w art. 15 ust. 3c </w:t>
            </w:r>
            <w:r w:rsidR="00C625D6">
              <w:rPr>
                <w:rFonts w:ascii="Times New Roman" w:hAnsi="Times New Roman"/>
                <w:bCs/>
                <w:spacing w:val="-2"/>
              </w:rPr>
              <w:t>ustawy refundacyjnej zmiany w kierunku określenia</w:t>
            </w:r>
            <w:r w:rsidR="003065DC">
              <w:rPr>
                <w:rFonts w:ascii="Times New Roman" w:hAnsi="Times New Roman"/>
                <w:bCs/>
                <w:spacing w:val="-2"/>
              </w:rPr>
              <w:t xml:space="preserve"> spos</w:t>
            </w:r>
            <w:r w:rsidR="00C625D6">
              <w:rPr>
                <w:rFonts w:ascii="Times New Roman" w:hAnsi="Times New Roman"/>
                <w:bCs/>
                <w:spacing w:val="-2"/>
              </w:rPr>
              <w:t>o</w:t>
            </w:r>
            <w:r w:rsidR="003065DC">
              <w:rPr>
                <w:rFonts w:ascii="Times New Roman" w:hAnsi="Times New Roman"/>
                <w:bCs/>
                <w:spacing w:val="-2"/>
              </w:rPr>
              <w:t>b</w:t>
            </w:r>
            <w:r w:rsidR="00C625D6">
              <w:rPr>
                <w:rFonts w:ascii="Times New Roman" w:hAnsi="Times New Roman"/>
                <w:bCs/>
                <w:spacing w:val="-2"/>
              </w:rPr>
              <w:t>u</w:t>
            </w:r>
            <w:r w:rsidR="003065DC">
              <w:rPr>
                <w:rFonts w:ascii="Times New Roman" w:hAnsi="Times New Roman"/>
                <w:bCs/>
                <w:spacing w:val="-2"/>
              </w:rPr>
              <w:t xml:space="preserve"> zmiany </w:t>
            </w:r>
            <w:r w:rsidR="003065DC" w:rsidRPr="003065DC">
              <w:rPr>
                <w:rFonts w:ascii="Times New Roman" w:hAnsi="Times New Roman"/>
                <w:bCs/>
                <w:spacing w:val="-2"/>
              </w:rPr>
              <w:t>grupy limitowej dla leku, środka spożywczego specjalnego przeznaczenia żywieniowego lub wyrobu medycznego, dla którego w decyzji nie ustalono grupy limitowej</w:t>
            </w:r>
            <w:r w:rsidR="003065DC">
              <w:rPr>
                <w:rFonts w:ascii="Times New Roman" w:hAnsi="Times New Roman"/>
                <w:bCs/>
                <w:spacing w:val="-2"/>
              </w:rPr>
              <w:t>;</w:t>
            </w:r>
          </w:p>
          <w:p w14:paraId="5115CE40" w14:textId="22CCDE36" w:rsidR="006A31E1" w:rsidRDefault="00C66635" w:rsidP="006A31E1">
            <w:pPr>
              <w:numPr>
                <w:ilvl w:val="0"/>
                <w:numId w:val="37"/>
              </w:numPr>
              <w:spacing w:line="240" w:lineRule="auto"/>
              <w:jc w:val="both"/>
              <w:rPr>
                <w:rFonts w:ascii="Times New Roman" w:hAnsi="Times New Roman"/>
                <w:bCs/>
                <w:spacing w:val="-2"/>
              </w:rPr>
            </w:pPr>
            <w:r w:rsidRPr="00C66635">
              <w:rPr>
                <w:rFonts w:ascii="Times New Roman" w:hAnsi="Times New Roman"/>
                <w:bCs/>
                <w:spacing w:val="-2"/>
              </w:rPr>
              <w:t>w związku z problemem wskazanym w pkt 3</w:t>
            </w:r>
            <w:r>
              <w:rPr>
                <w:rFonts w:ascii="Times New Roman" w:hAnsi="Times New Roman"/>
                <w:bCs/>
                <w:spacing w:val="-2"/>
              </w:rPr>
              <w:t>5</w:t>
            </w:r>
            <w:r w:rsidRPr="00C66635">
              <w:rPr>
                <w:rFonts w:ascii="Times New Roman" w:hAnsi="Times New Roman"/>
                <w:bCs/>
                <w:spacing w:val="-2"/>
              </w:rPr>
              <w:t xml:space="preserve"> sekcji 1 OSR </w:t>
            </w:r>
            <w:r w:rsidR="00C625D6">
              <w:rPr>
                <w:rFonts w:ascii="Times New Roman" w:hAnsi="Times New Roman"/>
                <w:bCs/>
                <w:spacing w:val="-2"/>
              </w:rPr>
              <w:t xml:space="preserve">proponuje się </w:t>
            </w:r>
            <w:r w:rsidRPr="00C66635">
              <w:rPr>
                <w:rFonts w:ascii="Times New Roman" w:hAnsi="Times New Roman"/>
                <w:bCs/>
                <w:spacing w:val="-2"/>
              </w:rPr>
              <w:t>wprowadzić</w:t>
            </w:r>
            <w:r>
              <w:rPr>
                <w:rFonts w:ascii="Times New Roman" w:hAnsi="Times New Roman"/>
                <w:bCs/>
                <w:spacing w:val="-2"/>
              </w:rPr>
              <w:t xml:space="preserve"> przepisy regulujące obowiązkowe konsultacje przed złożeniem wniosku o objęcie refundacją i ustalenia ceny zbytu netto w zakresie leku i środka spożywczego specjalnego</w:t>
            </w:r>
            <w:r w:rsidRPr="00C66635">
              <w:rPr>
                <w:rFonts w:ascii="Times New Roman" w:hAnsi="Times New Roman"/>
                <w:bCs/>
                <w:spacing w:val="-2"/>
              </w:rPr>
              <w:t>, który nie jest zawarty w wykazie, o którym mowa w art. 37 ust. 1</w:t>
            </w:r>
            <w:r>
              <w:rPr>
                <w:rFonts w:ascii="Times New Roman" w:hAnsi="Times New Roman"/>
                <w:bCs/>
                <w:spacing w:val="-2"/>
              </w:rPr>
              <w:t xml:space="preserve"> ustawy refundacyjnej</w:t>
            </w:r>
            <w:r w:rsidRPr="00C66635">
              <w:rPr>
                <w:rFonts w:ascii="Times New Roman" w:hAnsi="Times New Roman"/>
                <w:bCs/>
                <w:spacing w:val="-2"/>
              </w:rPr>
              <w:t>,</w:t>
            </w:r>
            <w:r>
              <w:rPr>
                <w:rFonts w:ascii="Times New Roman" w:hAnsi="Times New Roman"/>
                <w:bCs/>
                <w:spacing w:val="-2"/>
              </w:rPr>
              <w:t xml:space="preserve"> w celu ustalenia ostatecznego wskazania, a w przypadku kategorii, o której mowa </w:t>
            </w:r>
            <w:r w:rsidRPr="00C66635">
              <w:rPr>
                <w:rFonts w:ascii="Times New Roman" w:hAnsi="Times New Roman"/>
                <w:bCs/>
                <w:spacing w:val="-2"/>
              </w:rPr>
              <w:t>w art. 6 ust. 2 pkt 2</w:t>
            </w:r>
            <w:r>
              <w:rPr>
                <w:rFonts w:ascii="Times New Roman" w:hAnsi="Times New Roman"/>
                <w:bCs/>
                <w:spacing w:val="-2"/>
              </w:rPr>
              <w:t xml:space="preserve"> </w:t>
            </w:r>
            <w:r w:rsidR="00B4132E">
              <w:rPr>
                <w:rFonts w:ascii="Times New Roman" w:hAnsi="Times New Roman"/>
                <w:bCs/>
                <w:spacing w:val="-2"/>
              </w:rPr>
              <w:t xml:space="preserve">tej ustawy </w:t>
            </w:r>
            <w:r w:rsidR="005E3E4F">
              <w:rPr>
                <w:rFonts w:ascii="Times New Roman" w:hAnsi="Times New Roman"/>
                <w:bCs/>
                <w:spacing w:val="-2"/>
              </w:rPr>
              <w:t xml:space="preserve">refundacyjnej, </w:t>
            </w:r>
            <w:r>
              <w:rPr>
                <w:rFonts w:ascii="Times New Roman" w:hAnsi="Times New Roman"/>
                <w:bCs/>
                <w:spacing w:val="-2"/>
              </w:rPr>
              <w:t xml:space="preserve">również treści programu lekowego. Dodatkowo </w:t>
            </w:r>
            <w:r w:rsidR="00C625D6">
              <w:rPr>
                <w:rFonts w:ascii="Times New Roman" w:hAnsi="Times New Roman"/>
                <w:bCs/>
                <w:spacing w:val="-2"/>
              </w:rPr>
              <w:t>proponuje się</w:t>
            </w:r>
            <w:r>
              <w:rPr>
                <w:rFonts w:ascii="Times New Roman" w:hAnsi="Times New Roman"/>
                <w:bCs/>
                <w:spacing w:val="-2"/>
              </w:rPr>
              <w:t xml:space="preserve"> doprecyzowanie procedury ustalania treści programu lekowego lub jego zmiany;</w:t>
            </w:r>
          </w:p>
          <w:p w14:paraId="7A7EB47D" w14:textId="3A5444B7" w:rsidR="00217871" w:rsidRDefault="00217871" w:rsidP="006A31E1">
            <w:pPr>
              <w:numPr>
                <w:ilvl w:val="0"/>
                <w:numId w:val="37"/>
              </w:numPr>
              <w:spacing w:line="240" w:lineRule="auto"/>
              <w:jc w:val="both"/>
              <w:rPr>
                <w:rFonts w:ascii="Times New Roman" w:hAnsi="Times New Roman"/>
                <w:bCs/>
                <w:spacing w:val="-2"/>
              </w:rPr>
            </w:pPr>
            <w:r w:rsidRPr="00217871">
              <w:rPr>
                <w:rFonts w:ascii="Times New Roman" w:hAnsi="Times New Roman"/>
                <w:bCs/>
                <w:spacing w:val="-2"/>
              </w:rPr>
              <w:t>w związku z problemem wskazanym w pkt 36 sekcji 1 OSR proponuje się wprowadzić przepis</w:t>
            </w:r>
            <w:r>
              <w:rPr>
                <w:rFonts w:ascii="Times New Roman" w:hAnsi="Times New Roman"/>
                <w:bCs/>
                <w:spacing w:val="-2"/>
              </w:rPr>
              <w:t xml:space="preserve"> przejściowy </w:t>
            </w:r>
            <w:r w:rsidR="00584CA2">
              <w:rPr>
                <w:rFonts w:ascii="Times New Roman" w:hAnsi="Times New Roman"/>
                <w:bCs/>
                <w:spacing w:val="-2"/>
              </w:rPr>
              <w:t xml:space="preserve">stanowiący, że uchyla się </w:t>
            </w:r>
            <w:r w:rsidR="00584CA2" w:rsidRPr="00977064">
              <w:rPr>
                <w:rFonts w:ascii="Times New Roman" w:hAnsi="Times New Roman"/>
                <w:bCs/>
                <w:spacing w:val="-2"/>
              </w:rPr>
              <w:t>załącznik zawierający opis programu lekowego</w:t>
            </w:r>
            <w:r w:rsidR="00584CA2">
              <w:rPr>
                <w:rFonts w:ascii="Times New Roman" w:hAnsi="Times New Roman"/>
                <w:bCs/>
                <w:spacing w:val="-2"/>
              </w:rPr>
              <w:t xml:space="preserve"> dołączany</w:t>
            </w:r>
            <w:r w:rsidR="00584CA2" w:rsidRPr="00977064">
              <w:rPr>
                <w:rFonts w:ascii="Times New Roman" w:hAnsi="Times New Roman"/>
                <w:bCs/>
                <w:spacing w:val="-2"/>
              </w:rPr>
              <w:t xml:space="preserve"> do decyzji administracyjnych o objęciu refundacją leku</w:t>
            </w:r>
            <w:r w:rsidR="00584CA2">
              <w:rPr>
                <w:rFonts w:ascii="Times New Roman" w:hAnsi="Times New Roman"/>
                <w:bCs/>
                <w:spacing w:val="-2"/>
              </w:rPr>
              <w:t xml:space="preserve"> albo </w:t>
            </w:r>
            <w:r w:rsidR="00584CA2" w:rsidRPr="00977064">
              <w:rPr>
                <w:rFonts w:ascii="Times New Roman" w:hAnsi="Times New Roman"/>
                <w:bCs/>
                <w:spacing w:val="-2"/>
              </w:rPr>
              <w:t>środka spożywczego specjalnego przeznaczenia żywieniowego w kategorii, o której mowa w art. 6 ust. 1 pkt 2</w:t>
            </w:r>
            <w:r w:rsidR="00584CA2">
              <w:rPr>
                <w:rFonts w:ascii="Times New Roman" w:hAnsi="Times New Roman"/>
                <w:bCs/>
                <w:spacing w:val="-2"/>
              </w:rPr>
              <w:t xml:space="preserve"> ustawy refundacyjnej</w:t>
            </w:r>
            <w:r w:rsidR="00584CA2" w:rsidRPr="00977064">
              <w:rPr>
                <w:rFonts w:ascii="Times New Roman" w:hAnsi="Times New Roman"/>
                <w:bCs/>
                <w:spacing w:val="-2"/>
              </w:rPr>
              <w:t xml:space="preserve"> wydan</w:t>
            </w:r>
            <w:r w:rsidR="00016826">
              <w:rPr>
                <w:rFonts w:ascii="Times New Roman" w:hAnsi="Times New Roman"/>
                <w:bCs/>
                <w:spacing w:val="-2"/>
              </w:rPr>
              <w:t xml:space="preserve">ych </w:t>
            </w:r>
            <w:r w:rsidR="00584CA2" w:rsidRPr="00977064">
              <w:rPr>
                <w:rFonts w:ascii="Times New Roman" w:hAnsi="Times New Roman"/>
                <w:bCs/>
                <w:spacing w:val="-2"/>
              </w:rPr>
              <w:t>przed 1 listopada 2023 r.</w:t>
            </w:r>
            <w:r w:rsidR="00584CA2">
              <w:rPr>
                <w:rFonts w:ascii="Times New Roman" w:hAnsi="Times New Roman"/>
                <w:bCs/>
                <w:spacing w:val="-2"/>
              </w:rPr>
              <w:t>, a</w:t>
            </w:r>
            <w:r w:rsidR="00016826">
              <w:rPr>
                <w:rFonts w:ascii="Times New Roman" w:hAnsi="Times New Roman"/>
                <w:bCs/>
                <w:spacing w:val="-2"/>
              </w:rPr>
              <w:t xml:space="preserve"> dla tych decyzji </w:t>
            </w:r>
            <w:r w:rsidR="00584CA2">
              <w:rPr>
                <w:rFonts w:ascii="Times New Roman" w:hAnsi="Times New Roman"/>
                <w:bCs/>
                <w:spacing w:val="-2"/>
              </w:rPr>
              <w:t xml:space="preserve"> obowiązując</w:t>
            </w:r>
            <w:r w:rsidR="00016826">
              <w:rPr>
                <w:rFonts w:ascii="Times New Roman" w:hAnsi="Times New Roman"/>
                <w:bCs/>
                <w:spacing w:val="-2"/>
              </w:rPr>
              <w:t>y</w:t>
            </w:r>
            <w:r w:rsidR="00584CA2">
              <w:rPr>
                <w:rFonts w:ascii="Times New Roman" w:hAnsi="Times New Roman"/>
                <w:bCs/>
                <w:spacing w:val="-2"/>
              </w:rPr>
              <w:t xml:space="preserve"> jest op</w:t>
            </w:r>
            <w:r w:rsidR="00584CA2" w:rsidRPr="00584CA2">
              <w:rPr>
                <w:rFonts w:ascii="Times New Roman" w:hAnsi="Times New Roman"/>
                <w:bCs/>
                <w:spacing w:val="-2"/>
              </w:rPr>
              <w:t>is programu lekowego, o którym mowa w art. 37 ust. 3</w:t>
            </w:r>
            <w:r w:rsidR="007E5179">
              <w:rPr>
                <w:rFonts w:ascii="Times New Roman" w:hAnsi="Times New Roman"/>
                <w:bCs/>
                <w:spacing w:val="-2"/>
              </w:rPr>
              <w:t xml:space="preserve"> ustawy</w:t>
            </w:r>
            <w:r w:rsidR="005E3E4F">
              <w:rPr>
                <w:rFonts w:ascii="Times New Roman" w:hAnsi="Times New Roman"/>
                <w:bCs/>
                <w:spacing w:val="-2"/>
              </w:rPr>
              <w:t xml:space="preserve"> refundacyjnej</w:t>
            </w:r>
            <w:r w:rsidR="00584CA2" w:rsidRPr="00584CA2">
              <w:rPr>
                <w:rFonts w:ascii="Times New Roman" w:hAnsi="Times New Roman"/>
                <w:bCs/>
                <w:spacing w:val="-2"/>
              </w:rPr>
              <w:t xml:space="preserve">, </w:t>
            </w:r>
            <w:r w:rsidR="00584CA2">
              <w:rPr>
                <w:rFonts w:ascii="Times New Roman" w:hAnsi="Times New Roman"/>
                <w:bCs/>
                <w:spacing w:val="-2"/>
              </w:rPr>
              <w:t xml:space="preserve">załączany </w:t>
            </w:r>
            <w:r w:rsidR="00584CA2" w:rsidRPr="00584CA2">
              <w:rPr>
                <w:rFonts w:ascii="Times New Roman" w:hAnsi="Times New Roman"/>
                <w:bCs/>
                <w:spacing w:val="-2"/>
              </w:rPr>
              <w:t>do obwieszczenia, o którym mowa w art. 37 ust. 1</w:t>
            </w:r>
            <w:r w:rsidR="00584CA2">
              <w:rPr>
                <w:rFonts w:ascii="Times New Roman" w:hAnsi="Times New Roman"/>
                <w:bCs/>
                <w:spacing w:val="-2"/>
              </w:rPr>
              <w:t xml:space="preserve"> ustawy</w:t>
            </w:r>
            <w:r w:rsidR="005E3E4F">
              <w:t xml:space="preserve"> </w:t>
            </w:r>
            <w:r w:rsidR="005E3E4F" w:rsidRPr="005E3E4F">
              <w:rPr>
                <w:rFonts w:ascii="Times New Roman" w:hAnsi="Times New Roman"/>
                <w:bCs/>
                <w:spacing w:val="-2"/>
              </w:rPr>
              <w:t>refundacyjnej</w:t>
            </w:r>
            <w:r w:rsidR="00584CA2" w:rsidRPr="00584CA2">
              <w:rPr>
                <w:rFonts w:ascii="Times New Roman" w:hAnsi="Times New Roman"/>
                <w:bCs/>
                <w:spacing w:val="-2"/>
              </w:rPr>
              <w:t>.</w:t>
            </w:r>
          </w:p>
          <w:p w14:paraId="699DE864" w14:textId="14504468" w:rsidR="006A31E1" w:rsidRDefault="006A31E1" w:rsidP="006A31E1">
            <w:pPr>
              <w:numPr>
                <w:ilvl w:val="0"/>
                <w:numId w:val="37"/>
              </w:numPr>
              <w:spacing w:line="240" w:lineRule="auto"/>
              <w:jc w:val="both"/>
              <w:rPr>
                <w:rFonts w:ascii="Times New Roman" w:hAnsi="Times New Roman"/>
                <w:bCs/>
                <w:spacing w:val="-2"/>
              </w:rPr>
            </w:pPr>
            <w:r w:rsidRPr="006A31E1">
              <w:rPr>
                <w:rFonts w:ascii="Times New Roman" w:hAnsi="Times New Roman"/>
                <w:bCs/>
                <w:spacing w:val="-2"/>
              </w:rPr>
              <w:t xml:space="preserve">w związku z problemem wskazanym w pkt </w:t>
            </w:r>
            <w:r w:rsidR="007E5179" w:rsidRPr="006A31E1">
              <w:rPr>
                <w:rFonts w:ascii="Times New Roman" w:hAnsi="Times New Roman"/>
                <w:bCs/>
                <w:spacing w:val="-2"/>
              </w:rPr>
              <w:t>3</w:t>
            </w:r>
            <w:r w:rsidR="007E5179">
              <w:rPr>
                <w:rFonts w:ascii="Times New Roman" w:hAnsi="Times New Roman"/>
                <w:bCs/>
                <w:spacing w:val="-2"/>
              </w:rPr>
              <w:t>7</w:t>
            </w:r>
            <w:r w:rsidR="007E5179" w:rsidRPr="006A31E1">
              <w:rPr>
                <w:rFonts w:ascii="Times New Roman" w:hAnsi="Times New Roman"/>
                <w:bCs/>
                <w:spacing w:val="-2"/>
              </w:rPr>
              <w:t xml:space="preserve"> </w:t>
            </w:r>
            <w:r w:rsidRPr="006A31E1">
              <w:rPr>
                <w:rFonts w:ascii="Times New Roman" w:hAnsi="Times New Roman"/>
                <w:bCs/>
                <w:spacing w:val="-2"/>
              </w:rPr>
              <w:t xml:space="preserve">sekcji 1 OSR </w:t>
            </w:r>
            <w:r w:rsidR="00233DAE">
              <w:rPr>
                <w:rFonts w:ascii="Times New Roman" w:hAnsi="Times New Roman"/>
                <w:bCs/>
                <w:spacing w:val="-2"/>
              </w:rPr>
              <w:t xml:space="preserve">proponuje się </w:t>
            </w:r>
            <w:r w:rsidRPr="006A31E1">
              <w:rPr>
                <w:rFonts w:ascii="Times New Roman" w:hAnsi="Times New Roman"/>
                <w:bCs/>
                <w:spacing w:val="-2"/>
              </w:rPr>
              <w:t>wprowadzić</w:t>
            </w:r>
            <w:r>
              <w:rPr>
                <w:rFonts w:ascii="Times New Roman" w:hAnsi="Times New Roman"/>
                <w:bCs/>
                <w:spacing w:val="-2"/>
              </w:rPr>
              <w:t xml:space="preserve"> przepis uniemożlwiający składanie wniosków </w:t>
            </w:r>
            <w:r w:rsidRPr="006A31E1">
              <w:rPr>
                <w:rFonts w:ascii="Times New Roman" w:hAnsi="Times New Roman"/>
                <w:bCs/>
                <w:spacing w:val="-2"/>
              </w:rPr>
              <w:t>w ramach kategorii dostępności refundacyjnej, o której mowa w art. 6 ust.1 pkt 2</w:t>
            </w:r>
            <w:r w:rsidR="00B4132E">
              <w:rPr>
                <w:rFonts w:ascii="Times New Roman" w:hAnsi="Times New Roman"/>
                <w:bCs/>
                <w:spacing w:val="-2"/>
              </w:rPr>
              <w:t xml:space="preserve"> ustawy refundacyjnej</w:t>
            </w:r>
            <w:r w:rsidRPr="006A31E1">
              <w:rPr>
                <w:rFonts w:ascii="Times New Roman" w:hAnsi="Times New Roman"/>
                <w:bCs/>
                <w:spacing w:val="-2"/>
              </w:rPr>
              <w:t>, w przypadku złożenia wniosku o objęcie refundacją we wskazaniu ujętym na wykazie, o którym mowa w art. 37 ust. 1</w:t>
            </w:r>
            <w:r w:rsidR="00B4132E">
              <w:rPr>
                <w:rFonts w:ascii="Times New Roman" w:hAnsi="Times New Roman"/>
                <w:bCs/>
                <w:spacing w:val="-2"/>
              </w:rPr>
              <w:t xml:space="preserve"> tej ustawy</w:t>
            </w:r>
            <w:r w:rsidRPr="006A31E1">
              <w:rPr>
                <w:rFonts w:ascii="Times New Roman" w:hAnsi="Times New Roman"/>
                <w:bCs/>
                <w:spacing w:val="-2"/>
              </w:rPr>
              <w:t>, w ramach kategorii dostępności refundacyjnej, o której mowa w art. 6 ust.</w:t>
            </w:r>
            <w:r w:rsidR="00E73F4D">
              <w:rPr>
                <w:rFonts w:ascii="Times New Roman" w:hAnsi="Times New Roman"/>
                <w:bCs/>
                <w:spacing w:val="-2"/>
              </w:rPr>
              <w:t xml:space="preserve"> </w:t>
            </w:r>
            <w:r w:rsidRPr="006A31E1">
              <w:rPr>
                <w:rFonts w:ascii="Times New Roman" w:hAnsi="Times New Roman"/>
                <w:bCs/>
                <w:spacing w:val="-2"/>
              </w:rPr>
              <w:t>1 pkt 1</w:t>
            </w:r>
            <w:r w:rsidR="00B4132E">
              <w:rPr>
                <w:rFonts w:ascii="Times New Roman" w:hAnsi="Times New Roman"/>
                <w:bCs/>
                <w:spacing w:val="-2"/>
              </w:rPr>
              <w:t xml:space="preserve"> ustawy</w:t>
            </w:r>
            <w:r>
              <w:rPr>
                <w:rFonts w:ascii="Times New Roman" w:hAnsi="Times New Roman"/>
                <w:bCs/>
                <w:spacing w:val="-2"/>
              </w:rPr>
              <w:t xml:space="preserve"> </w:t>
            </w:r>
            <w:r w:rsidR="00E73F4D">
              <w:rPr>
                <w:rFonts w:ascii="Times New Roman" w:hAnsi="Times New Roman"/>
                <w:bCs/>
                <w:spacing w:val="-2"/>
              </w:rPr>
              <w:t xml:space="preserve">refundacyjnej </w:t>
            </w:r>
            <w:r w:rsidR="00417E31">
              <w:rPr>
                <w:rFonts w:ascii="Times New Roman" w:hAnsi="Times New Roman"/>
                <w:bCs/>
                <w:spacing w:val="-2"/>
              </w:rPr>
              <w:t xml:space="preserve">dla tego leku lub jego odpowiednika </w:t>
            </w:r>
            <w:r>
              <w:rPr>
                <w:rFonts w:ascii="Times New Roman" w:hAnsi="Times New Roman"/>
                <w:bCs/>
                <w:spacing w:val="-2"/>
              </w:rPr>
              <w:t>oraz w sytuacji odwrotnej</w:t>
            </w:r>
            <w:r w:rsidR="00233DAE">
              <w:rPr>
                <w:rFonts w:ascii="Times New Roman" w:hAnsi="Times New Roman"/>
                <w:bCs/>
                <w:spacing w:val="-2"/>
              </w:rPr>
              <w:t>;</w:t>
            </w:r>
          </w:p>
          <w:p w14:paraId="041474AB" w14:textId="665D03C6" w:rsidR="00191039" w:rsidRDefault="00233DAE" w:rsidP="004663A3">
            <w:pPr>
              <w:numPr>
                <w:ilvl w:val="0"/>
                <w:numId w:val="37"/>
              </w:numPr>
              <w:spacing w:line="240" w:lineRule="auto"/>
              <w:jc w:val="both"/>
              <w:rPr>
                <w:rFonts w:ascii="Times New Roman" w:hAnsi="Times New Roman"/>
                <w:bCs/>
                <w:spacing w:val="-2"/>
              </w:rPr>
            </w:pPr>
            <w:r w:rsidRPr="00233DAE">
              <w:rPr>
                <w:rFonts w:ascii="Times New Roman" w:hAnsi="Times New Roman"/>
                <w:bCs/>
                <w:spacing w:val="-2"/>
              </w:rPr>
              <w:t>w związku z problemem wskazanym w pkt 3</w:t>
            </w:r>
            <w:r w:rsidR="007E5179">
              <w:rPr>
                <w:rFonts w:ascii="Times New Roman" w:hAnsi="Times New Roman"/>
                <w:bCs/>
                <w:spacing w:val="-2"/>
              </w:rPr>
              <w:t>8</w:t>
            </w:r>
            <w:r w:rsidR="00E73F4D">
              <w:rPr>
                <w:rFonts w:ascii="Times New Roman" w:hAnsi="Times New Roman"/>
                <w:bCs/>
                <w:spacing w:val="-2"/>
              </w:rPr>
              <w:t xml:space="preserve"> </w:t>
            </w:r>
            <w:r w:rsidRPr="00233DAE">
              <w:rPr>
                <w:rFonts w:ascii="Times New Roman" w:hAnsi="Times New Roman"/>
                <w:bCs/>
                <w:spacing w:val="-2"/>
              </w:rPr>
              <w:t xml:space="preserve">sekcji 1 OSR </w:t>
            </w:r>
            <w:r>
              <w:rPr>
                <w:rFonts w:ascii="Times New Roman" w:hAnsi="Times New Roman"/>
                <w:bCs/>
                <w:spacing w:val="-2"/>
              </w:rPr>
              <w:t xml:space="preserve">proponuje się zmienić okres składania raportów z półrocznego na roczny. Dzięki </w:t>
            </w:r>
            <w:r w:rsidR="00B4132E">
              <w:rPr>
                <w:rFonts w:ascii="Times New Roman" w:hAnsi="Times New Roman"/>
                <w:bCs/>
                <w:spacing w:val="-2"/>
              </w:rPr>
              <w:t>temu</w:t>
            </w:r>
            <w:r w:rsidR="0019086E">
              <w:rPr>
                <w:rFonts w:ascii="Times New Roman" w:hAnsi="Times New Roman"/>
                <w:bCs/>
                <w:spacing w:val="-2"/>
              </w:rPr>
              <w:t xml:space="preserve"> </w:t>
            </w:r>
            <w:r>
              <w:rPr>
                <w:rFonts w:ascii="Times New Roman" w:hAnsi="Times New Roman"/>
                <w:bCs/>
                <w:spacing w:val="-2"/>
              </w:rPr>
              <w:t xml:space="preserve">dane z </w:t>
            </w:r>
            <w:r w:rsidR="00B4132E">
              <w:rPr>
                <w:rFonts w:ascii="Times New Roman" w:hAnsi="Times New Roman"/>
                <w:bCs/>
                <w:spacing w:val="-2"/>
              </w:rPr>
              <w:t xml:space="preserve">realizacji </w:t>
            </w:r>
            <w:r>
              <w:rPr>
                <w:rFonts w:ascii="Times New Roman" w:hAnsi="Times New Roman"/>
                <w:bCs/>
                <w:spacing w:val="-2"/>
              </w:rPr>
              <w:t>programu</w:t>
            </w:r>
            <w:r w:rsidR="00B4132E">
              <w:rPr>
                <w:rFonts w:ascii="Times New Roman" w:hAnsi="Times New Roman"/>
                <w:bCs/>
                <w:spacing w:val="-2"/>
              </w:rPr>
              <w:t xml:space="preserve"> lekowego</w:t>
            </w:r>
            <w:r>
              <w:rPr>
                <w:rFonts w:ascii="Times New Roman" w:hAnsi="Times New Roman"/>
                <w:bCs/>
                <w:spacing w:val="-2"/>
              </w:rPr>
              <w:t xml:space="preserve"> powinny być pełniejsze</w:t>
            </w:r>
            <w:r w:rsidR="005633E6">
              <w:rPr>
                <w:rFonts w:ascii="Times New Roman" w:hAnsi="Times New Roman"/>
                <w:bCs/>
                <w:spacing w:val="-2"/>
              </w:rPr>
              <w:t>;</w:t>
            </w:r>
            <w:bookmarkEnd w:id="5"/>
          </w:p>
          <w:p w14:paraId="6C5B6F76" w14:textId="1C58337E" w:rsidR="000307CA" w:rsidRDefault="000307CA" w:rsidP="004663A3">
            <w:pPr>
              <w:numPr>
                <w:ilvl w:val="0"/>
                <w:numId w:val="37"/>
              </w:numPr>
              <w:spacing w:line="240" w:lineRule="auto"/>
              <w:jc w:val="both"/>
              <w:rPr>
                <w:rFonts w:ascii="Times New Roman" w:hAnsi="Times New Roman"/>
                <w:bCs/>
                <w:spacing w:val="-2"/>
              </w:rPr>
            </w:pPr>
            <w:r w:rsidRPr="000307CA">
              <w:rPr>
                <w:rFonts w:ascii="Times New Roman" w:hAnsi="Times New Roman"/>
                <w:bCs/>
                <w:spacing w:val="-2"/>
              </w:rPr>
              <w:t xml:space="preserve">w związku z problemem wskazanym w pkt </w:t>
            </w:r>
            <w:r w:rsidR="007E5179" w:rsidRPr="000307CA">
              <w:rPr>
                <w:rFonts w:ascii="Times New Roman" w:hAnsi="Times New Roman"/>
                <w:bCs/>
                <w:spacing w:val="-2"/>
              </w:rPr>
              <w:t>3</w:t>
            </w:r>
            <w:r w:rsidR="007E5179">
              <w:rPr>
                <w:rFonts w:ascii="Times New Roman" w:hAnsi="Times New Roman"/>
                <w:bCs/>
                <w:spacing w:val="-2"/>
              </w:rPr>
              <w:t>9</w:t>
            </w:r>
            <w:r w:rsidR="007E5179" w:rsidRPr="000307CA">
              <w:rPr>
                <w:rFonts w:ascii="Times New Roman" w:hAnsi="Times New Roman"/>
                <w:bCs/>
                <w:spacing w:val="-2"/>
              </w:rPr>
              <w:t xml:space="preserve"> </w:t>
            </w:r>
            <w:r w:rsidRPr="000307CA">
              <w:rPr>
                <w:rFonts w:ascii="Times New Roman" w:hAnsi="Times New Roman"/>
                <w:bCs/>
                <w:spacing w:val="-2"/>
              </w:rPr>
              <w:t>sekcji 1 OSR proponuje się</w:t>
            </w:r>
            <w:r w:rsidR="00C25630">
              <w:rPr>
                <w:rFonts w:ascii="Times New Roman" w:hAnsi="Times New Roman"/>
                <w:bCs/>
                <w:spacing w:val="-2"/>
              </w:rPr>
              <w:t xml:space="preserve"> uchylenie art. 18a ustawy refundacyjnej</w:t>
            </w:r>
            <w:r w:rsidR="005633E6">
              <w:rPr>
                <w:rFonts w:ascii="Times New Roman" w:hAnsi="Times New Roman"/>
                <w:bCs/>
                <w:spacing w:val="-2"/>
              </w:rPr>
              <w:t>,</w:t>
            </w:r>
            <w:r w:rsidR="00C25630">
              <w:rPr>
                <w:rFonts w:ascii="Times New Roman" w:hAnsi="Times New Roman"/>
                <w:bCs/>
                <w:spacing w:val="-2"/>
              </w:rPr>
              <w:t xml:space="preserve"> </w:t>
            </w:r>
            <w:r w:rsidR="0019086E">
              <w:rPr>
                <w:rFonts w:ascii="Times New Roman" w:hAnsi="Times New Roman"/>
                <w:bCs/>
                <w:spacing w:val="-2"/>
              </w:rPr>
              <w:t>w efekcie czego</w:t>
            </w:r>
            <w:r w:rsidR="00C25630">
              <w:rPr>
                <w:rFonts w:ascii="Times New Roman" w:hAnsi="Times New Roman"/>
                <w:bCs/>
                <w:spacing w:val="-2"/>
              </w:rPr>
              <w:t xml:space="preserve"> wnioskodawcy </w:t>
            </w:r>
            <w:r w:rsidR="005633E6">
              <w:rPr>
                <w:rFonts w:ascii="Times New Roman" w:hAnsi="Times New Roman"/>
                <w:bCs/>
                <w:spacing w:val="-2"/>
              </w:rPr>
              <w:t>uzyskają</w:t>
            </w:r>
            <w:r w:rsidR="00C25630">
              <w:rPr>
                <w:rFonts w:ascii="Times New Roman" w:hAnsi="Times New Roman"/>
                <w:bCs/>
                <w:spacing w:val="-2"/>
              </w:rPr>
              <w:t xml:space="preserve"> możliwość dokonywania modyfikacji </w:t>
            </w:r>
            <w:r w:rsidR="0019086E">
              <w:rPr>
                <w:rFonts w:ascii="Times New Roman" w:hAnsi="Times New Roman"/>
                <w:bCs/>
                <w:spacing w:val="-2"/>
              </w:rPr>
              <w:t xml:space="preserve">ww. wniosku </w:t>
            </w:r>
            <w:r w:rsidR="00C25630">
              <w:rPr>
                <w:rFonts w:ascii="Times New Roman" w:hAnsi="Times New Roman"/>
                <w:bCs/>
                <w:spacing w:val="-2"/>
              </w:rPr>
              <w:t>w każdym zakresie</w:t>
            </w:r>
            <w:r w:rsidR="005633E6">
              <w:rPr>
                <w:rFonts w:ascii="Times New Roman" w:hAnsi="Times New Roman"/>
                <w:bCs/>
                <w:spacing w:val="-2"/>
              </w:rPr>
              <w:t>;</w:t>
            </w:r>
          </w:p>
          <w:p w14:paraId="70355006" w14:textId="587EC58A" w:rsidR="00C25630" w:rsidRDefault="00C25630" w:rsidP="004663A3">
            <w:pPr>
              <w:numPr>
                <w:ilvl w:val="0"/>
                <w:numId w:val="37"/>
              </w:numPr>
              <w:spacing w:line="240" w:lineRule="auto"/>
              <w:jc w:val="both"/>
              <w:rPr>
                <w:rFonts w:ascii="Times New Roman" w:hAnsi="Times New Roman"/>
                <w:bCs/>
                <w:spacing w:val="-2"/>
              </w:rPr>
            </w:pPr>
            <w:r w:rsidRPr="00C25630">
              <w:rPr>
                <w:rFonts w:ascii="Times New Roman" w:hAnsi="Times New Roman"/>
                <w:bCs/>
                <w:spacing w:val="-2"/>
              </w:rPr>
              <w:t xml:space="preserve">w związku z problemem wskazanym w pkt </w:t>
            </w:r>
            <w:r w:rsidR="007E5179">
              <w:rPr>
                <w:rFonts w:ascii="Times New Roman" w:hAnsi="Times New Roman"/>
                <w:bCs/>
                <w:spacing w:val="-2"/>
              </w:rPr>
              <w:t>40</w:t>
            </w:r>
            <w:r w:rsidR="007E5179" w:rsidRPr="00C25630">
              <w:rPr>
                <w:rFonts w:ascii="Times New Roman" w:hAnsi="Times New Roman"/>
                <w:bCs/>
                <w:spacing w:val="-2"/>
              </w:rPr>
              <w:t xml:space="preserve"> </w:t>
            </w:r>
            <w:r w:rsidRPr="00C25630">
              <w:rPr>
                <w:rFonts w:ascii="Times New Roman" w:hAnsi="Times New Roman"/>
                <w:bCs/>
                <w:spacing w:val="-2"/>
              </w:rPr>
              <w:t>sekcji 1 OSR proponuje się</w:t>
            </w:r>
            <w:r>
              <w:rPr>
                <w:rFonts w:ascii="Times New Roman" w:hAnsi="Times New Roman"/>
                <w:bCs/>
                <w:spacing w:val="-2"/>
              </w:rPr>
              <w:t xml:space="preserve"> zmianę brzmienia art. 24 ust. 1a ustawy refundacyjnej</w:t>
            </w:r>
            <w:r w:rsidR="0019086E">
              <w:rPr>
                <w:rFonts w:ascii="Times New Roman" w:hAnsi="Times New Roman"/>
                <w:bCs/>
                <w:spacing w:val="-2"/>
              </w:rPr>
              <w:t xml:space="preserve"> w kierunku wyłączenia jedynie </w:t>
            </w:r>
            <w:r>
              <w:rPr>
                <w:rFonts w:ascii="Times New Roman" w:hAnsi="Times New Roman"/>
                <w:bCs/>
                <w:spacing w:val="-2"/>
              </w:rPr>
              <w:t>możliwoś</w:t>
            </w:r>
            <w:r w:rsidR="0019086E">
              <w:rPr>
                <w:rFonts w:ascii="Times New Roman" w:hAnsi="Times New Roman"/>
                <w:bCs/>
                <w:spacing w:val="-2"/>
              </w:rPr>
              <w:t>ci</w:t>
            </w:r>
            <w:r>
              <w:rPr>
                <w:rFonts w:ascii="Times New Roman" w:hAnsi="Times New Roman"/>
                <w:bCs/>
                <w:spacing w:val="-2"/>
              </w:rPr>
              <w:t xml:space="preserve"> złożenia wniosku o podwyżkę przez </w:t>
            </w:r>
            <w:r w:rsidR="005633E6">
              <w:rPr>
                <w:rFonts w:ascii="Times New Roman" w:hAnsi="Times New Roman"/>
                <w:bCs/>
                <w:spacing w:val="-2"/>
              </w:rPr>
              <w:t xml:space="preserve">okres </w:t>
            </w:r>
            <w:r>
              <w:rPr>
                <w:rFonts w:ascii="Times New Roman" w:hAnsi="Times New Roman"/>
                <w:bCs/>
                <w:spacing w:val="-2"/>
              </w:rPr>
              <w:t>12 miesięcy od wydania decyzji, w której obniżono cenę refundowanego leku zgodnie z art. 13 ust 2 ustawy refundacyjnej. Dodatkowo proponuj</w:t>
            </w:r>
            <w:r w:rsidR="0019086E">
              <w:rPr>
                <w:rFonts w:ascii="Times New Roman" w:hAnsi="Times New Roman"/>
                <w:bCs/>
                <w:spacing w:val="-2"/>
              </w:rPr>
              <w:t>e</w:t>
            </w:r>
            <w:r>
              <w:rPr>
                <w:rFonts w:ascii="Times New Roman" w:hAnsi="Times New Roman"/>
                <w:bCs/>
                <w:spacing w:val="-2"/>
              </w:rPr>
              <w:t xml:space="preserve"> się zmianę w art. 26 </w:t>
            </w:r>
            <w:r w:rsidR="00260400">
              <w:rPr>
                <w:rFonts w:ascii="Times New Roman" w:hAnsi="Times New Roman"/>
                <w:bCs/>
                <w:spacing w:val="-2"/>
              </w:rPr>
              <w:t xml:space="preserve">pkt 1 lit. n oraz pkt 2 lit. o </w:t>
            </w:r>
            <w:r>
              <w:rPr>
                <w:rFonts w:ascii="Times New Roman" w:hAnsi="Times New Roman"/>
                <w:bCs/>
                <w:spacing w:val="-2"/>
              </w:rPr>
              <w:t>ustawy refundacyjnej</w:t>
            </w:r>
            <w:r w:rsidR="00260400">
              <w:rPr>
                <w:rFonts w:ascii="Times New Roman" w:hAnsi="Times New Roman"/>
                <w:bCs/>
                <w:spacing w:val="-2"/>
              </w:rPr>
              <w:t xml:space="preserve">, </w:t>
            </w:r>
            <w:r w:rsidR="0019086E">
              <w:rPr>
                <w:rFonts w:ascii="Times New Roman" w:hAnsi="Times New Roman"/>
                <w:bCs/>
                <w:spacing w:val="-2"/>
              </w:rPr>
              <w:t xml:space="preserve">w taki sposób, aby </w:t>
            </w:r>
            <w:r w:rsidR="00260400">
              <w:rPr>
                <w:rFonts w:ascii="Times New Roman" w:hAnsi="Times New Roman"/>
                <w:bCs/>
                <w:spacing w:val="-2"/>
              </w:rPr>
              <w:t>umożliwi</w:t>
            </w:r>
            <w:r w:rsidR="0019086E">
              <w:rPr>
                <w:rFonts w:ascii="Times New Roman" w:hAnsi="Times New Roman"/>
                <w:bCs/>
                <w:spacing w:val="-2"/>
              </w:rPr>
              <w:t>ć</w:t>
            </w:r>
            <w:r w:rsidR="00260400">
              <w:rPr>
                <w:rFonts w:ascii="Times New Roman" w:hAnsi="Times New Roman"/>
                <w:bCs/>
                <w:spacing w:val="-2"/>
              </w:rPr>
              <w:t xml:space="preserve"> wnioskodawcom alternatywne przedstawienie dowodów wymienionych</w:t>
            </w:r>
            <w:r w:rsidR="0019086E">
              <w:rPr>
                <w:rFonts w:ascii="Times New Roman" w:hAnsi="Times New Roman"/>
                <w:bCs/>
                <w:spacing w:val="-2"/>
              </w:rPr>
              <w:t xml:space="preserve"> w tych przepisach</w:t>
            </w:r>
            <w:r w:rsidR="00260400">
              <w:rPr>
                <w:rFonts w:ascii="Times New Roman" w:hAnsi="Times New Roman"/>
                <w:bCs/>
                <w:spacing w:val="-2"/>
              </w:rPr>
              <w:t>;</w:t>
            </w:r>
          </w:p>
          <w:p w14:paraId="6EE3733E" w14:textId="1CDD4C79" w:rsidR="00260400" w:rsidRDefault="00611264" w:rsidP="004663A3">
            <w:pPr>
              <w:numPr>
                <w:ilvl w:val="0"/>
                <w:numId w:val="37"/>
              </w:numPr>
              <w:spacing w:line="240" w:lineRule="auto"/>
              <w:jc w:val="both"/>
              <w:rPr>
                <w:rFonts w:ascii="Times New Roman" w:hAnsi="Times New Roman"/>
                <w:bCs/>
                <w:spacing w:val="-2"/>
              </w:rPr>
            </w:pPr>
            <w:r w:rsidRPr="00611264">
              <w:rPr>
                <w:rFonts w:ascii="Times New Roman" w:hAnsi="Times New Roman"/>
                <w:bCs/>
                <w:spacing w:val="-2"/>
              </w:rPr>
              <w:t xml:space="preserve">w związku z problemem wskazanym w pkt </w:t>
            </w:r>
            <w:r w:rsidR="007E5179">
              <w:rPr>
                <w:rFonts w:ascii="Times New Roman" w:hAnsi="Times New Roman"/>
                <w:bCs/>
                <w:spacing w:val="-2"/>
              </w:rPr>
              <w:t>41</w:t>
            </w:r>
            <w:r w:rsidR="007E5179" w:rsidRPr="00611264">
              <w:rPr>
                <w:rFonts w:ascii="Times New Roman" w:hAnsi="Times New Roman"/>
                <w:bCs/>
                <w:spacing w:val="-2"/>
              </w:rPr>
              <w:t xml:space="preserve"> </w:t>
            </w:r>
            <w:r w:rsidRPr="00611264">
              <w:rPr>
                <w:rFonts w:ascii="Times New Roman" w:hAnsi="Times New Roman"/>
                <w:bCs/>
                <w:spacing w:val="-2"/>
              </w:rPr>
              <w:t>sekcji 1 OSR proponuje się</w:t>
            </w:r>
            <w:r>
              <w:rPr>
                <w:rFonts w:ascii="Times New Roman" w:hAnsi="Times New Roman"/>
                <w:bCs/>
                <w:spacing w:val="-2"/>
              </w:rPr>
              <w:t xml:space="preserve"> wprowadzenie obowiązku informowania </w:t>
            </w:r>
            <w:r w:rsidR="005633E6">
              <w:rPr>
                <w:rFonts w:ascii="Times New Roman" w:hAnsi="Times New Roman"/>
                <w:bCs/>
                <w:spacing w:val="-2"/>
              </w:rPr>
              <w:t>M</w:t>
            </w:r>
            <w:r>
              <w:rPr>
                <w:rFonts w:ascii="Times New Roman" w:hAnsi="Times New Roman"/>
                <w:bCs/>
                <w:spacing w:val="-2"/>
              </w:rPr>
              <w:t xml:space="preserve">inistra </w:t>
            </w:r>
            <w:r w:rsidR="005633E6">
              <w:rPr>
                <w:rFonts w:ascii="Times New Roman" w:hAnsi="Times New Roman"/>
                <w:bCs/>
                <w:spacing w:val="-2"/>
              </w:rPr>
              <w:t>Z</w:t>
            </w:r>
            <w:r>
              <w:rPr>
                <w:rFonts w:ascii="Times New Roman" w:hAnsi="Times New Roman"/>
                <w:bCs/>
                <w:spacing w:val="-2"/>
              </w:rPr>
              <w:t xml:space="preserve">drowia przez wnioskodawców o planach złożenia w następnym roku kalendarzowym wniosku o objęcie refundacją </w:t>
            </w:r>
            <w:r w:rsidRPr="00611264">
              <w:rPr>
                <w:rFonts w:ascii="Times New Roman" w:hAnsi="Times New Roman"/>
                <w:bCs/>
                <w:spacing w:val="-2"/>
              </w:rPr>
              <w:t>leku, środka spożywczego specjalnego przeznaczenia żywieniowego, wyrobu medycznego, który nie ma odpowiednika refundowanego</w:t>
            </w:r>
            <w:r w:rsidR="00AB3CE8">
              <w:rPr>
                <w:rFonts w:ascii="Times New Roman" w:hAnsi="Times New Roman"/>
                <w:bCs/>
                <w:spacing w:val="-2"/>
              </w:rPr>
              <w:t>,</w:t>
            </w:r>
            <w:r w:rsidR="00AB3CE8">
              <w:t xml:space="preserve"> </w:t>
            </w:r>
            <w:r w:rsidR="00AB3CE8">
              <w:rPr>
                <w:rFonts w:ascii="Times New Roman" w:hAnsi="Times New Roman"/>
                <w:bCs/>
                <w:spacing w:val="-2"/>
              </w:rPr>
              <w:t>z</w:t>
            </w:r>
            <w:r w:rsidR="00AB3CE8" w:rsidRPr="00AB3CE8">
              <w:rPr>
                <w:rFonts w:ascii="Times New Roman" w:hAnsi="Times New Roman"/>
                <w:bCs/>
                <w:spacing w:val="-2"/>
              </w:rPr>
              <w:t xml:space="preserve">aprojektowany przepis nie zakłada konsekwencji niepoinformowania przez </w:t>
            </w:r>
            <w:r w:rsidR="005653C4">
              <w:rPr>
                <w:rFonts w:ascii="Times New Roman" w:hAnsi="Times New Roman"/>
                <w:bCs/>
                <w:spacing w:val="-2"/>
              </w:rPr>
              <w:t>w</w:t>
            </w:r>
            <w:r w:rsidR="00AB3CE8" w:rsidRPr="00AB3CE8">
              <w:rPr>
                <w:rFonts w:ascii="Times New Roman" w:hAnsi="Times New Roman"/>
                <w:bCs/>
                <w:spacing w:val="-2"/>
              </w:rPr>
              <w:t>nioskodawcę o takim zamiarze lub zmiany jego planów</w:t>
            </w:r>
            <w:r w:rsidR="00AB3CE8">
              <w:rPr>
                <w:rFonts w:ascii="Times New Roman" w:hAnsi="Times New Roman"/>
                <w:bCs/>
                <w:spacing w:val="-2"/>
              </w:rPr>
              <w:t>, r</w:t>
            </w:r>
            <w:r w:rsidR="00AB3CE8" w:rsidRPr="00AB3CE8">
              <w:rPr>
                <w:rFonts w:ascii="Times New Roman" w:hAnsi="Times New Roman"/>
                <w:bCs/>
                <w:spacing w:val="-2"/>
              </w:rPr>
              <w:t>ównież w interesie Wnioskodawcy jest przedstawienie przedmiotowych planów w celu ew. rozważenia przez Ministra Zdrowia uwzględnienia włączenia produktów do systemu refundacji w danym roku</w:t>
            </w:r>
            <w:r>
              <w:rPr>
                <w:rFonts w:ascii="Times New Roman" w:hAnsi="Times New Roman"/>
                <w:bCs/>
                <w:spacing w:val="-2"/>
              </w:rPr>
              <w:t>;</w:t>
            </w:r>
          </w:p>
          <w:p w14:paraId="7F66B814" w14:textId="48A8D70A" w:rsidR="00DF3E8E" w:rsidRDefault="00DF3E8E" w:rsidP="004663A3">
            <w:pPr>
              <w:numPr>
                <w:ilvl w:val="0"/>
                <w:numId w:val="37"/>
              </w:numPr>
              <w:spacing w:line="240" w:lineRule="auto"/>
              <w:jc w:val="both"/>
              <w:rPr>
                <w:rFonts w:ascii="Times New Roman" w:hAnsi="Times New Roman"/>
                <w:bCs/>
                <w:spacing w:val="-2"/>
              </w:rPr>
            </w:pPr>
            <w:r w:rsidRPr="00DF3E8E">
              <w:rPr>
                <w:rFonts w:ascii="Times New Roman" w:hAnsi="Times New Roman"/>
                <w:bCs/>
                <w:spacing w:val="-2"/>
              </w:rPr>
              <w:t xml:space="preserve">w związku z problemem wskazanym w pkt </w:t>
            </w:r>
            <w:r w:rsidR="007E5179" w:rsidRPr="00DF3E8E">
              <w:rPr>
                <w:rFonts w:ascii="Times New Roman" w:hAnsi="Times New Roman"/>
                <w:bCs/>
                <w:spacing w:val="-2"/>
              </w:rPr>
              <w:t>4</w:t>
            </w:r>
            <w:r w:rsidR="007E5179">
              <w:rPr>
                <w:rFonts w:ascii="Times New Roman" w:hAnsi="Times New Roman"/>
                <w:bCs/>
                <w:spacing w:val="-2"/>
              </w:rPr>
              <w:t>2</w:t>
            </w:r>
            <w:r w:rsidR="007E5179" w:rsidRPr="00DF3E8E">
              <w:rPr>
                <w:rFonts w:ascii="Times New Roman" w:hAnsi="Times New Roman"/>
                <w:bCs/>
                <w:spacing w:val="-2"/>
              </w:rPr>
              <w:t xml:space="preserve"> </w:t>
            </w:r>
            <w:r w:rsidRPr="00DF3E8E">
              <w:rPr>
                <w:rFonts w:ascii="Times New Roman" w:hAnsi="Times New Roman"/>
                <w:bCs/>
                <w:spacing w:val="-2"/>
              </w:rPr>
              <w:t>sekcji 1 OSR proponuje się</w:t>
            </w:r>
            <w:r>
              <w:rPr>
                <w:rFonts w:ascii="Times New Roman" w:hAnsi="Times New Roman"/>
                <w:bCs/>
                <w:spacing w:val="-2"/>
              </w:rPr>
              <w:t xml:space="preserve"> wprowadzeni</w:t>
            </w:r>
            <w:r w:rsidR="00E73F4D">
              <w:rPr>
                <w:rFonts w:ascii="Times New Roman" w:hAnsi="Times New Roman"/>
                <w:bCs/>
                <w:spacing w:val="-2"/>
              </w:rPr>
              <w:t>e</w:t>
            </w:r>
            <w:r>
              <w:rPr>
                <w:rFonts w:ascii="Times New Roman" w:hAnsi="Times New Roman"/>
                <w:bCs/>
                <w:spacing w:val="-2"/>
              </w:rPr>
              <w:t xml:space="preserve"> </w:t>
            </w:r>
            <w:r w:rsidR="001F38FB">
              <w:rPr>
                <w:rFonts w:ascii="Times New Roman" w:hAnsi="Times New Roman"/>
                <w:bCs/>
                <w:spacing w:val="-2"/>
              </w:rPr>
              <w:t>uproszonego postępowania dotyczące</w:t>
            </w:r>
            <w:r w:rsidR="005653C4">
              <w:rPr>
                <w:rFonts w:ascii="Times New Roman" w:hAnsi="Times New Roman"/>
                <w:bCs/>
                <w:spacing w:val="-2"/>
              </w:rPr>
              <w:t>go</w:t>
            </w:r>
            <w:r w:rsidR="001F38FB">
              <w:rPr>
                <w:rFonts w:ascii="Times New Roman" w:hAnsi="Times New Roman"/>
                <w:bCs/>
                <w:spacing w:val="-2"/>
              </w:rPr>
              <w:t xml:space="preserve"> s</w:t>
            </w:r>
            <w:r w:rsidR="001F38FB" w:rsidRPr="001F38FB">
              <w:rPr>
                <w:rFonts w:ascii="Times New Roman" w:hAnsi="Times New Roman"/>
                <w:bCs/>
                <w:spacing w:val="-2"/>
              </w:rPr>
              <w:t>króceni</w:t>
            </w:r>
            <w:r w:rsidR="001F38FB">
              <w:rPr>
                <w:rFonts w:ascii="Times New Roman" w:hAnsi="Times New Roman"/>
                <w:bCs/>
                <w:spacing w:val="-2"/>
              </w:rPr>
              <w:t>a</w:t>
            </w:r>
            <w:r w:rsidR="001F38FB" w:rsidRPr="001F38FB">
              <w:rPr>
                <w:rFonts w:ascii="Times New Roman" w:hAnsi="Times New Roman"/>
                <w:bCs/>
                <w:spacing w:val="-2"/>
              </w:rPr>
              <w:t xml:space="preserve"> okresu obowiązywania decyzji</w:t>
            </w:r>
            <w:r w:rsidR="001F38FB">
              <w:rPr>
                <w:rFonts w:ascii="Times New Roman" w:hAnsi="Times New Roman"/>
                <w:bCs/>
                <w:spacing w:val="-2"/>
              </w:rPr>
              <w:t xml:space="preserve"> administracyjnej o objęciu refundacją</w:t>
            </w:r>
            <w:r w:rsidR="001F38FB" w:rsidRPr="001F38FB">
              <w:rPr>
                <w:rFonts w:ascii="Times New Roman" w:hAnsi="Times New Roman"/>
                <w:bCs/>
                <w:spacing w:val="-2"/>
              </w:rPr>
              <w:t>,</w:t>
            </w:r>
            <w:r>
              <w:rPr>
                <w:rFonts w:ascii="Times New Roman" w:hAnsi="Times New Roman"/>
                <w:bCs/>
                <w:spacing w:val="-2"/>
              </w:rPr>
              <w:t xml:space="preserve"> dla leku, który jest </w:t>
            </w:r>
            <w:r w:rsidR="00404501">
              <w:rPr>
                <w:rFonts w:ascii="Times New Roman" w:hAnsi="Times New Roman"/>
                <w:bCs/>
                <w:spacing w:val="-2"/>
              </w:rPr>
              <w:t xml:space="preserve">w </w:t>
            </w:r>
            <w:r>
              <w:rPr>
                <w:rFonts w:ascii="Times New Roman" w:hAnsi="Times New Roman"/>
                <w:bCs/>
                <w:spacing w:val="-2"/>
              </w:rPr>
              <w:t xml:space="preserve">wykazie, o którym mowa w art. 37 ust. 1 ustawy refundacyjnej, a procedowany jest dla niego wniosek </w:t>
            </w:r>
            <w:r w:rsidRPr="00AB7441">
              <w:rPr>
                <w:rFonts w:ascii="Times New Roman" w:hAnsi="Times New Roman"/>
                <w:bCs/>
                <w:spacing w:val="-2"/>
              </w:rPr>
              <w:t>w celu wydania decyzji o objęciu refundacją i ustaleniu ceny zbytu netto dla tego samego leku w tym samym albo szerszym wskazaniu. Dodatkowo</w:t>
            </w:r>
            <w:r w:rsidR="005633E6">
              <w:rPr>
                <w:rFonts w:ascii="Times New Roman" w:hAnsi="Times New Roman"/>
                <w:bCs/>
                <w:spacing w:val="-2"/>
              </w:rPr>
              <w:t xml:space="preserve"> proponuje się</w:t>
            </w:r>
            <w:r w:rsidRPr="00AB7441">
              <w:rPr>
                <w:rFonts w:ascii="Times New Roman" w:hAnsi="Times New Roman"/>
                <w:bCs/>
                <w:spacing w:val="-2"/>
              </w:rPr>
              <w:t xml:space="preserve"> doprecyzo</w:t>
            </w:r>
            <w:r w:rsidR="005633E6">
              <w:rPr>
                <w:rFonts w:ascii="Times New Roman" w:hAnsi="Times New Roman"/>
                <w:bCs/>
                <w:spacing w:val="-2"/>
              </w:rPr>
              <w:t>wanie</w:t>
            </w:r>
            <w:r w:rsidRPr="00AB7441">
              <w:rPr>
                <w:rFonts w:ascii="Times New Roman" w:hAnsi="Times New Roman"/>
                <w:bCs/>
                <w:spacing w:val="-2"/>
              </w:rPr>
              <w:t xml:space="preserve"> wymaga</w:t>
            </w:r>
            <w:r w:rsidR="005633E6">
              <w:rPr>
                <w:rFonts w:ascii="Times New Roman" w:hAnsi="Times New Roman"/>
                <w:bCs/>
                <w:spacing w:val="-2"/>
              </w:rPr>
              <w:t>ń</w:t>
            </w:r>
            <w:r w:rsidRPr="00AB7441">
              <w:rPr>
                <w:rFonts w:ascii="Times New Roman" w:hAnsi="Times New Roman"/>
                <w:bCs/>
                <w:spacing w:val="-2"/>
              </w:rPr>
              <w:t xml:space="preserve"> dla wniosków o skrócenie okresu obowiązywania decyzji, o której mowa w art. 11 ust. 1 albo ust. 6 ustawy refundacyjnej</w:t>
            </w:r>
            <w:r w:rsidR="005633E6">
              <w:rPr>
                <w:rFonts w:ascii="Times New Roman" w:hAnsi="Times New Roman"/>
                <w:bCs/>
                <w:spacing w:val="-2"/>
              </w:rPr>
              <w:t>,</w:t>
            </w:r>
            <w:r w:rsidRPr="00AB7441">
              <w:rPr>
                <w:rFonts w:ascii="Times New Roman" w:hAnsi="Times New Roman"/>
                <w:bCs/>
                <w:spacing w:val="-2"/>
              </w:rPr>
              <w:t xml:space="preserve"> przez </w:t>
            </w:r>
            <w:r w:rsidR="005633E6">
              <w:rPr>
                <w:rFonts w:ascii="Times New Roman" w:hAnsi="Times New Roman"/>
                <w:bCs/>
                <w:spacing w:val="-2"/>
              </w:rPr>
              <w:t>wprowadzenie</w:t>
            </w:r>
            <w:r w:rsidRPr="00AB7441">
              <w:rPr>
                <w:rFonts w:ascii="Times New Roman" w:hAnsi="Times New Roman"/>
                <w:bCs/>
                <w:spacing w:val="-2"/>
              </w:rPr>
              <w:t xml:space="preserve"> obowiązku</w:t>
            </w:r>
            <w:r>
              <w:rPr>
                <w:rFonts w:ascii="Times New Roman" w:hAnsi="Times New Roman"/>
                <w:bCs/>
                <w:spacing w:val="-2"/>
              </w:rPr>
              <w:t xml:space="preserve"> załączenia </w:t>
            </w:r>
            <w:r w:rsidRPr="00DF3E8E">
              <w:rPr>
                <w:rFonts w:ascii="Times New Roman" w:hAnsi="Times New Roman"/>
                <w:bCs/>
                <w:spacing w:val="-2"/>
              </w:rPr>
              <w:t>dow</w:t>
            </w:r>
            <w:r w:rsidR="005633E6">
              <w:rPr>
                <w:rFonts w:ascii="Times New Roman" w:hAnsi="Times New Roman"/>
                <w:bCs/>
                <w:spacing w:val="-2"/>
              </w:rPr>
              <w:t>o</w:t>
            </w:r>
            <w:r w:rsidRPr="00DF3E8E">
              <w:rPr>
                <w:rFonts w:ascii="Times New Roman" w:hAnsi="Times New Roman"/>
                <w:bCs/>
                <w:spacing w:val="-2"/>
              </w:rPr>
              <w:t>d</w:t>
            </w:r>
            <w:r w:rsidR="005633E6">
              <w:rPr>
                <w:rFonts w:ascii="Times New Roman" w:hAnsi="Times New Roman"/>
                <w:bCs/>
                <w:spacing w:val="-2"/>
              </w:rPr>
              <w:t>u</w:t>
            </w:r>
            <w:r w:rsidRPr="00DF3E8E">
              <w:rPr>
                <w:rFonts w:ascii="Times New Roman" w:hAnsi="Times New Roman"/>
                <w:bCs/>
                <w:spacing w:val="-2"/>
              </w:rPr>
              <w:t xml:space="preserve"> uiszczenia opłaty, o której mowa w art. 32, jeżeli dotyczy</w:t>
            </w:r>
            <w:r>
              <w:rPr>
                <w:rFonts w:ascii="Times New Roman" w:hAnsi="Times New Roman"/>
                <w:bCs/>
                <w:spacing w:val="-2"/>
              </w:rPr>
              <w:t>;</w:t>
            </w:r>
          </w:p>
          <w:p w14:paraId="23C0CAAE" w14:textId="385670E3" w:rsidR="00DF3E8E" w:rsidRPr="0018106C" w:rsidRDefault="00DF3E8E" w:rsidP="004663A3">
            <w:pPr>
              <w:numPr>
                <w:ilvl w:val="0"/>
                <w:numId w:val="37"/>
              </w:numPr>
              <w:spacing w:line="240" w:lineRule="auto"/>
              <w:jc w:val="both"/>
              <w:rPr>
                <w:rFonts w:ascii="Times New Roman" w:hAnsi="Times New Roman"/>
                <w:bCs/>
                <w:spacing w:val="-2"/>
              </w:rPr>
            </w:pPr>
            <w:r w:rsidRPr="0018106C">
              <w:rPr>
                <w:rFonts w:ascii="Times New Roman" w:hAnsi="Times New Roman"/>
                <w:bCs/>
                <w:spacing w:val="-2"/>
              </w:rPr>
              <w:t xml:space="preserve">w związku z problemem wskazanym w pkt </w:t>
            </w:r>
            <w:r w:rsidR="007E5179" w:rsidRPr="0018106C">
              <w:rPr>
                <w:rFonts w:ascii="Times New Roman" w:hAnsi="Times New Roman"/>
                <w:bCs/>
                <w:spacing w:val="-2"/>
              </w:rPr>
              <w:t xml:space="preserve">43 </w:t>
            </w:r>
            <w:r w:rsidRPr="0018106C">
              <w:rPr>
                <w:rFonts w:ascii="Times New Roman" w:hAnsi="Times New Roman"/>
                <w:bCs/>
                <w:spacing w:val="-2"/>
              </w:rPr>
              <w:t>sekcji 1 OSR proponuje się</w:t>
            </w:r>
            <w:r w:rsidR="0060660B" w:rsidRPr="0018106C">
              <w:rPr>
                <w:rFonts w:ascii="Times New Roman" w:hAnsi="Times New Roman"/>
                <w:bCs/>
                <w:spacing w:val="-2"/>
              </w:rPr>
              <w:t xml:space="preserve"> ograniczenie</w:t>
            </w:r>
            <w:r w:rsidR="002E0723" w:rsidRPr="0018106C">
              <w:rPr>
                <w:rFonts w:ascii="Times New Roman" w:hAnsi="Times New Roman"/>
                <w:bCs/>
                <w:spacing w:val="-2"/>
              </w:rPr>
              <w:t xml:space="preserve"> zakresu</w:t>
            </w:r>
            <w:r w:rsidR="0060660B" w:rsidRPr="0018106C">
              <w:rPr>
                <w:rFonts w:ascii="Times New Roman" w:hAnsi="Times New Roman"/>
                <w:bCs/>
                <w:spacing w:val="-2"/>
              </w:rPr>
              <w:t xml:space="preserve"> tajemnicy refundacyjnej</w:t>
            </w:r>
            <w:r w:rsidR="002E0723" w:rsidRPr="0018106C">
              <w:rPr>
                <w:rFonts w:ascii="Times New Roman" w:hAnsi="Times New Roman"/>
                <w:bCs/>
                <w:spacing w:val="-2"/>
              </w:rPr>
              <w:t xml:space="preserve"> określonego</w:t>
            </w:r>
            <w:r w:rsidR="0060660B" w:rsidRPr="0018106C">
              <w:rPr>
                <w:rFonts w:ascii="Times New Roman" w:hAnsi="Times New Roman"/>
                <w:bCs/>
                <w:spacing w:val="-2"/>
              </w:rPr>
              <w:t xml:space="preserve"> w art. 30b</w:t>
            </w:r>
            <w:r w:rsidR="002E0723" w:rsidRPr="0018106C">
              <w:rPr>
                <w:rFonts w:ascii="Times New Roman" w:hAnsi="Times New Roman"/>
                <w:bCs/>
                <w:spacing w:val="-2"/>
              </w:rPr>
              <w:t xml:space="preserve"> ustawy refundacyjnej</w:t>
            </w:r>
            <w:r w:rsidR="0060660B" w:rsidRPr="0018106C">
              <w:rPr>
                <w:rFonts w:ascii="Times New Roman" w:hAnsi="Times New Roman"/>
                <w:bCs/>
                <w:spacing w:val="-2"/>
              </w:rPr>
              <w:t xml:space="preserve"> jedynie do zakresu przetwarzania instrumentu dzielenia ryzyka</w:t>
            </w:r>
            <w:r w:rsidR="003C2DC5" w:rsidRPr="0018106C">
              <w:rPr>
                <w:rFonts w:ascii="Times New Roman" w:hAnsi="Times New Roman"/>
                <w:bCs/>
                <w:spacing w:val="-2"/>
              </w:rPr>
              <w:t>.</w:t>
            </w:r>
            <w:r w:rsidR="0060660B" w:rsidRPr="0018106C">
              <w:rPr>
                <w:rFonts w:ascii="Times New Roman" w:hAnsi="Times New Roman"/>
                <w:bCs/>
                <w:spacing w:val="-2"/>
              </w:rPr>
              <w:t xml:space="preserve"> </w:t>
            </w:r>
            <w:r w:rsidR="003C2DC5" w:rsidRPr="0018106C">
              <w:rPr>
                <w:rFonts w:ascii="Times New Roman" w:hAnsi="Times New Roman"/>
                <w:bCs/>
                <w:spacing w:val="-2"/>
              </w:rPr>
              <w:t>Proponuje się również doprecyzowani</w:t>
            </w:r>
            <w:r w:rsidR="00E73F4D" w:rsidRPr="0018106C">
              <w:rPr>
                <w:rFonts w:ascii="Times New Roman" w:hAnsi="Times New Roman"/>
                <w:bCs/>
                <w:spacing w:val="-2"/>
              </w:rPr>
              <w:t>e</w:t>
            </w:r>
            <w:r w:rsidR="003C2DC5" w:rsidRPr="0018106C">
              <w:rPr>
                <w:rFonts w:ascii="Times New Roman" w:hAnsi="Times New Roman"/>
                <w:bCs/>
                <w:spacing w:val="-2"/>
              </w:rPr>
              <w:t xml:space="preserve"> tajemnicy refundacyjnej </w:t>
            </w:r>
            <w:r w:rsidR="0060660B" w:rsidRPr="0018106C">
              <w:rPr>
                <w:rFonts w:ascii="Times New Roman" w:hAnsi="Times New Roman"/>
                <w:bCs/>
                <w:spacing w:val="-2"/>
              </w:rPr>
              <w:t>z w zakresie podmiotów objętych tajemnicą refundacyjną oraz przekazywania informacji o zawartych instrumentach dzielenia ryzyka;</w:t>
            </w:r>
          </w:p>
          <w:p w14:paraId="26CA44BA" w14:textId="34F8F4B6" w:rsidR="006A31E1" w:rsidRDefault="0060660B" w:rsidP="00C25785">
            <w:pPr>
              <w:numPr>
                <w:ilvl w:val="0"/>
                <w:numId w:val="37"/>
              </w:numPr>
              <w:spacing w:line="240" w:lineRule="auto"/>
              <w:jc w:val="both"/>
              <w:rPr>
                <w:rFonts w:ascii="Times New Roman" w:hAnsi="Times New Roman"/>
                <w:bCs/>
                <w:spacing w:val="-2"/>
              </w:rPr>
            </w:pPr>
            <w:r w:rsidRPr="005956DA">
              <w:rPr>
                <w:rFonts w:ascii="Times New Roman" w:hAnsi="Times New Roman"/>
                <w:bCs/>
                <w:spacing w:val="-2"/>
              </w:rPr>
              <w:t xml:space="preserve">w związku z problemem wskazanym w pkt </w:t>
            </w:r>
            <w:r w:rsidR="007E5179" w:rsidRPr="005956DA">
              <w:rPr>
                <w:rFonts w:ascii="Times New Roman" w:hAnsi="Times New Roman"/>
                <w:bCs/>
                <w:spacing w:val="-2"/>
              </w:rPr>
              <w:t>4</w:t>
            </w:r>
            <w:r w:rsidR="007E5179">
              <w:rPr>
                <w:rFonts w:ascii="Times New Roman" w:hAnsi="Times New Roman"/>
                <w:bCs/>
                <w:spacing w:val="-2"/>
              </w:rPr>
              <w:t>4</w:t>
            </w:r>
            <w:r w:rsidR="007E5179" w:rsidRPr="005956DA">
              <w:rPr>
                <w:rFonts w:ascii="Times New Roman" w:hAnsi="Times New Roman"/>
                <w:bCs/>
                <w:spacing w:val="-2"/>
              </w:rPr>
              <w:t xml:space="preserve"> </w:t>
            </w:r>
            <w:r w:rsidRPr="005956DA">
              <w:rPr>
                <w:rFonts w:ascii="Times New Roman" w:hAnsi="Times New Roman"/>
                <w:bCs/>
                <w:spacing w:val="-2"/>
              </w:rPr>
              <w:t>sekcji 1 OSR proponuje się</w:t>
            </w:r>
            <w:r w:rsidR="005956DA" w:rsidRPr="005956DA">
              <w:rPr>
                <w:rFonts w:ascii="Times New Roman" w:hAnsi="Times New Roman"/>
                <w:bCs/>
                <w:spacing w:val="-2"/>
              </w:rPr>
              <w:t xml:space="preserve"> zmianę art. 31 ust. 7a</w:t>
            </w:r>
            <w:r w:rsidR="005956DA">
              <w:rPr>
                <w:rFonts w:ascii="Times New Roman" w:hAnsi="Times New Roman"/>
                <w:bCs/>
                <w:spacing w:val="-2"/>
              </w:rPr>
              <w:t xml:space="preserve"> ustawy refundacyjnej</w:t>
            </w:r>
            <w:r w:rsidR="005956DA" w:rsidRPr="005956DA">
              <w:rPr>
                <w:rFonts w:ascii="Times New Roman" w:hAnsi="Times New Roman"/>
                <w:bCs/>
                <w:spacing w:val="-2"/>
              </w:rPr>
              <w:t xml:space="preserve">, tak aby </w:t>
            </w:r>
            <w:r w:rsidR="005956DA">
              <w:rPr>
                <w:rFonts w:ascii="Times New Roman" w:hAnsi="Times New Roman"/>
                <w:bCs/>
                <w:spacing w:val="-2"/>
              </w:rPr>
              <w:t>obniżenie ceny zbytu netto na podstaw</w:t>
            </w:r>
            <w:r w:rsidR="00E73F4D">
              <w:rPr>
                <w:rFonts w:ascii="Times New Roman" w:hAnsi="Times New Roman"/>
                <w:bCs/>
                <w:spacing w:val="-2"/>
              </w:rPr>
              <w:t>ie</w:t>
            </w:r>
            <w:r w:rsidR="005956DA">
              <w:t xml:space="preserve"> </w:t>
            </w:r>
            <w:r w:rsidR="005956DA" w:rsidRPr="005956DA">
              <w:rPr>
                <w:rFonts w:ascii="Times New Roman" w:hAnsi="Times New Roman"/>
                <w:bCs/>
                <w:spacing w:val="-2"/>
              </w:rPr>
              <w:t>wniosku</w:t>
            </w:r>
            <w:r w:rsidR="005956DA">
              <w:rPr>
                <w:rFonts w:ascii="Times New Roman" w:hAnsi="Times New Roman"/>
                <w:bCs/>
                <w:spacing w:val="-2"/>
              </w:rPr>
              <w:t xml:space="preserve"> o obniżenie ceny zbytu netto</w:t>
            </w:r>
            <w:r w:rsidR="005956DA" w:rsidRPr="005956DA">
              <w:rPr>
                <w:rFonts w:ascii="Times New Roman" w:hAnsi="Times New Roman"/>
                <w:bCs/>
                <w:spacing w:val="-2"/>
              </w:rPr>
              <w:t xml:space="preserve"> złożonego nie później niż na 60 dni przed dniem obowiązywania pierwszego</w:t>
            </w:r>
            <w:r w:rsidR="002E0723">
              <w:rPr>
                <w:rFonts w:ascii="Times New Roman" w:hAnsi="Times New Roman"/>
                <w:bCs/>
                <w:spacing w:val="-2"/>
              </w:rPr>
              <w:t>,</w:t>
            </w:r>
            <w:r w:rsidR="005956DA" w:rsidRPr="005956DA">
              <w:rPr>
                <w:rFonts w:ascii="Times New Roman" w:hAnsi="Times New Roman"/>
                <w:bCs/>
                <w:spacing w:val="-2"/>
              </w:rPr>
              <w:t xml:space="preserve"> po złożeniu tego wniosku</w:t>
            </w:r>
            <w:r w:rsidR="002E0723">
              <w:rPr>
                <w:rFonts w:ascii="Times New Roman" w:hAnsi="Times New Roman"/>
                <w:bCs/>
                <w:spacing w:val="-2"/>
              </w:rPr>
              <w:t>,</w:t>
            </w:r>
            <w:r w:rsidR="005956DA" w:rsidRPr="005956DA">
              <w:rPr>
                <w:rFonts w:ascii="Times New Roman" w:hAnsi="Times New Roman"/>
                <w:bCs/>
                <w:spacing w:val="-2"/>
              </w:rPr>
              <w:t xml:space="preserve"> obwieszczenia, o którym mowa w art. 37 ust. 1, obowiąz</w:t>
            </w:r>
            <w:r w:rsidR="00E73F4D">
              <w:rPr>
                <w:rFonts w:ascii="Times New Roman" w:hAnsi="Times New Roman"/>
                <w:bCs/>
                <w:spacing w:val="-2"/>
              </w:rPr>
              <w:t>ywało</w:t>
            </w:r>
            <w:r w:rsidR="005956DA" w:rsidRPr="005956DA">
              <w:rPr>
                <w:rFonts w:ascii="Times New Roman" w:hAnsi="Times New Roman"/>
                <w:bCs/>
                <w:spacing w:val="-2"/>
              </w:rPr>
              <w:t xml:space="preserve"> od dnia, na który ustalono wykaz w tym obwieszczeniu</w:t>
            </w:r>
            <w:r w:rsidR="005956DA">
              <w:rPr>
                <w:rFonts w:ascii="Times New Roman" w:hAnsi="Times New Roman"/>
                <w:bCs/>
                <w:spacing w:val="-2"/>
              </w:rPr>
              <w:t>;</w:t>
            </w:r>
          </w:p>
          <w:p w14:paraId="56B9C874" w14:textId="4DD0AD2D" w:rsidR="005956DA" w:rsidRDefault="005956DA" w:rsidP="00C25785">
            <w:pPr>
              <w:numPr>
                <w:ilvl w:val="0"/>
                <w:numId w:val="37"/>
              </w:numPr>
              <w:spacing w:line="240" w:lineRule="auto"/>
              <w:jc w:val="both"/>
              <w:rPr>
                <w:rFonts w:ascii="Times New Roman" w:hAnsi="Times New Roman"/>
                <w:bCs/>
                <w:spacing w:val="-2"/>
              </w:rPr>
            </w:pPr>
            <w:r w:rsidRPr="005956DA">
              <w:rPr>
                <w:rFonts w:ascii="Times New Roman" w:hAnsi="Times New Roman"/>
                <w:bCs/>
                <w:spacing w:val="-2"/>
              </w:rPr>
              <w:t>w związku z problemem wskazanym w pkt 4</w:t>
            </w:r>
            <w:r w:rsidR="007E5179">
              <w:rPr>
                <w:rFonts w:ascii="Times New Roman" w:hAnsi="Times New Roman"/>
                <w:bCs/>
                <w:spacing w:val="-2"/>
              </w:rPr>
              <w:t>5</w:t>
            </w:r>
            <w:r w:rsidRPr="005956DA">
              <w:rPr>
                <w:rFonts w:ascii="Times New Roman" w:hAnsi="Times New Roman"/>
                <w:bCs/>
                <w:spacing w:val="-2"/>
              </w:rPr>
              <w:t xml:space="preserve"> sekcji 1 OSR proponuje się</w:t>
            </w:r>
            <w:r w:rsidR="008413DF">
              <w:rPr>
                <w:rFonts w:ascii="Times New Roman" w:hAnsi="Times New Roman"/>
                <w:bCs/>
                <w:spacing w:val="-2"/>
              </w:rPr>
              <w:t xml:space="preserve"> </w:t>
            </w:r>
            <w:r w:rsidR="002E0723">
              <w:rPr>
                <w:rFonts w:ascii="Times New Roman" w:hAnsi="Times New Roman"/>
                <w:bCs/>
                <w:spacing w:val="-2"/>
              </w:rPr>
              <w:t>zmiany w kierunku skorelowania</w:t>
            </w:r>
            <w:r w:rsidR="008413DF">
              <w:rPr>
                <w:rFonts w:ascii="Times New Roman" w:hAnsi="Times New Roman"/>
                <w:bCs/>
                <w:spacing w:val="-2"/>
              </w:rPr>
              <w:t xml:space="preserve"> </w:t>
            </w:r>
            <w:r w:rsidR="002E0723">
              <w:rPr>
                <w:rFonts w:ascii="Times New Roman" w:hAnsi="Times New Roman"/>
                <w:bCs/>
                <w:spacing w:val="-2"/>
              </w:rPr>
              <w:t xml:space="preserve">brzmienia </w:t>
            </w:r>
            <w:r w:rsidR="008413DF">
              <w:rPr>
                <w:rFonts w:ascii="Times New Roman" w:hAnsi="Times New Roman"/>
                <w:bCs/>
                <w:spacing w:val="-2"/>
              </w:rPr>
              <w:t xml:space="preserve">art. 32a ustawy refundacyjnej </w:t>
            </w:r>
            <w:r w:rsidR="002E0723">
              <w:rPr>
                <w:rFonts w:ascii="Times New Roman" w:hAnsi="Times New Roman"/>
                <w:bCs/>
                <w:spacing w:val="-2"/>
              </w:rPr>
              <w:t>z</w:t>
            </w:r>
            <w:r w:rsidR="008413DF">
              <w:rPr>
                <w:rFonts w:ascii="Times New Roman" w:hAnsi="Times New Roman"/>
                <w:bCs/>
                <w:spacing w:val="-2"/>
              </w:rPr>
              <w:t xml:space="preserve"> obecny</w:t>
            </w:r>
            <w:r w:rsidR="002E0723">
              <w:rPr>
                <w:rFonts w:ascii="Times New Roman" w:hAnsi="Times New Roman"/>
                <w:bCs/>
                <w:spacing w:val="-2"/>
              </w:rPr>
              <w:t>mi</w:t>
            </w:r>
            <w:r w:rsidR="008413DF">
              <w:rPr>
                <w:rFonts w:ascii="Times New Roman" w:hAnsi="Times New Roman"/>
                <w:bCs/>
                <w:spacing w:val="-2"/>
              </w:rPr>
              <w:t xml:space="preserve"> możliwości</w:t>
            </w:r>
            <w:r w:rsidR="002E0723">
              <w:rPr>
                <w:rFonts w:ascii="Times New Roman" w:hAnsi="Times New Roman"/>
                <w:bCs/>
                <w:spacing w:val="-2"/>
              </w:rPr>
              <w:t>ami</w:t>
            </w:r>
            <w:r w:rsidR="008413DF">
              <w:rPr>
                <w:rFonts w:ascii="Times New Roman" w:hAnsi="Times New Roman"/>
                <w:bCs/>
                <w:spacing w:val="-2"/>
              </w:rPr>
              <w:t xml:space="preserve"> techniczny</w:t>
            </w:r>
            <w:r w:rsidR="002E0723">
              <w:rPr>
                <w:rFonts w:ascii="Times New Roman" w:hAnsi="Times New Roman"/>
                <w:bCs/>
                <w:spacing w:val="-2"/>
              </w:rPr>
              <w:t>mi</w:t>
            </w:r>
            <w:r w:rsidR="008413DF">
              <w:rPr>
                <w:rFonts w:ascii="Times New Roman" w:hAnsi="Times New Roman"/>
                <w:bCs/>
                <w:spacing w:val="-2"/>
              </w:rPr>
              <w:t xml:space="preserve"> systemu SOLR</w:t>
            </w:r>
            <w:r w:rsidR="002E0723">
              <w:rPr>
                <w:rFonts w:ascii="Times New Roman" w:hAnsi="Times New Roman"/>
                <w:bCs/>
                <w:spacing w:val="-2"/>
              </w:rPr>
              <w:t>;</w:t>
            </w:r>
          </w:p>
          <w:p w14:paraId="59EB0862" w14:textId="08A839BF" w:rsidR="008413DF" w:rsidRDefault="008413DF" w:rsidP="00C25785">
            <w:pPr>
              <w:numPr>
                <w:ilvl w:val="0"/>
                <w:numId w:val="37"/>
              </w:numPr>
              <w:spacing w:line="240" w:lineRule="auto"/>
              <w:jc w:val="both"/>
              <w:rPr>
                <w:rFonts w:ascii="Times New Roman" w:hAnsi="Times New Roman"/>
                <w:bCs/>
                <w:spacing w:val="-2"/>
              </w:rPr>
            </w:pPr>
            <w:r w:rsidRPr="008413DF">
              <w:rPr>
                <w:rFonts w:ascii="Times New Roman" w:hAnsi="Times New Roman"/>
                <w:bCs/>
                <w:spacing w:val="-2"/>
              </w:rPr>
              <w:t xml:space="preserve">w związku z problemem wskazanym w pkt </w:t>
            </w:r>
            <w:r w:rsidR="007E5179" w:rsidRPr="008413DF">
              <w:rPr>
                <w:rFonts w:ascii="Times New Roman" w:hAnsi="Times New Roman"/>
                <w:bCs/>
                <w:spacing w:val="-2"/>
              </w:rPr>
              <w:t>4</w:t>
            </w:r>
            <w:r w:rsidR="007E5179">
              <w:rPr>
                <w:rFonts w:ascii="Times New Roman" w:hAnsi="Times New Roman"/>
                <w:bCs/>
                <w:spacing w:val="-2"/>
              </w:rPr>
              <w:t>6</w:t>
            </w:r>
            <w:r w:rsidR="007E5179" w:rsidRPr="008413DF">
              <w:rPr>
                <w:rFonts w:ascii="Times New Roman" w:hAnsi="Times New Roman"/>
                <w:bCs/>
                <w:spacing w:val="-2"/>
              </w:rPr>
              <w:t xml:space="preserve"> </w:t>
            </w:r>
            <w:r w:rsidRPr="008413DF">
              <w:rPr>
                <w:rFonts w:ascii="Times New Roman" w:hAnsi="Times New Roman"/>
                <w:bCs/>
                <w:spacing w:val="-2"/>
              </w:rPr>
              <w:t>sekcji 1 OSR proponuje się</w:t>
            </w:r>
            <w:r>
              <w:rPr>
                <w:rFonts w:ascii="Times New Roman" w:hAnsi="Times New Roman"/>
                <w:bCs/>
                <w:spacing w:val="-2"/>
              </w:rPr>
              <w:t xml:space="preserve"> nadanie nowego brzmienia art. 34</w:t>
            </w:r>
            <w:r w:rsidR="002E0723">
              <w:rPr>
                <w:rFonts w:ascii="Times New Roman" w:hAnsi="Times New Roman"/>
                <w:bCs/>
                <w:spacing w:val="-2"/>
              </w:rPr>
              <w:t xml:space="preserve"> ustawy refundacyjnej</w:t>
            </w:r>
            <w:r>
              <w:rPr>
                <w:rFonts w:ascii="Times New Roman" w:hAnsi="Times New Roman"/>
                <w:bCs/>
                <w:spacing w:val="-2"/>
              </w:rPr>
              <w:t xml:space="preserve">, tak aby nakładanie kar przez Prezesa </w:t>
            </w:r>
            <w:r w:rsidR="002E0723">
              <w:rPr>
                <w:rFonts w:ascii="Times New Roman" w:hAnsi="Times New Roman"/>
                <w:bCs/>
                <w:spacing w:val="-2"/>
              </w:rPr>
              <w:t>NFZ</w:t>
            </w:r>
            <w:r>
              <w:rPr>
                <w:rFonts w:ascii="Times New Roman" w:hAnsi="Times New Roman"/>
                <w:bCs/>
                <w:spacing w:val="-2"/>
              </w:rPr>
              <w:t xml:space="preserve"> było automatyczne i powiązane z informacjami zawartymi ZSMOPL;</w:t>
            </w:r>
          </w:p>
          <w:p w14:paraId="72B7CFC2" w14:textId="46120C37" w:rsidR="008413DF" w:rsidRDefault="00A70116" w:rsidP="00C25785">
            <w:pPr>
              <w:numPr>
                <w:ilvl w:val="0"/>
                <w:numId w:val="37"/>
              </w:numPr>
              <w:spacing w:line="240" w:lineRule="auto"/>
              <w:jc w:val="both"/>
              <w:rPr>
                <w:rFonts w:ascii="Times New Roman" w:hAnsi="Times New Roman"/>
                <w:bCs/>
                <w:spacing w:val="-2"/>
              </w:rPr>
            </w:pPr>
            <w:r w:rsidRPr="00A70116">
              <w:rPr>
                <w:rFonts w:ascii="Times New Roman" w:hAnsi="Times New Roman"/>
                <w:bCs/>
                <w:spacing w:val="-2"/>
              </w:rPr>
              <w:t xml:space="preserve">w związku z problemem wskazanym w pkt </w:t>
            </w:r>
            <w:r w:rsidR="007E5179" w:rsidRPr="00A70116">
              <w:rPr>
                <w:rFonts w:ascii="Times New Roman" w:hAnsi="Times New Roman"/>
                <w:bCs/>
                <w:spacing w:val="-2"/>
              </w:rPr>
              <w:t>4</w:t>
            </w:r>
            <w:r w:rsidR="007E5179">
              <w:rPr>
                <w:rFonts w:ascii="Times New Roman" w:hAnsi="Times New Roman"/>
                <w:bCs/>
                <w:spacing w:val="-2"/>
              </w:rPr>
              <w:t>7</w:t>
            </w:r>
            <w:r w:rsidRPr="00A70116">
              <w:rPr>
                <w:rFonts w:ascii="Times New Roman" w:hAnsi="Times New Roman"/>
                <w:bCs/>
                <w:spacing w:val="-2"/>
              </w:rPr>
              <w:t>sekcji 1 OSR proponuje się</w:t>
            </w:r>
            <w:r>
              <w:rPr>
                <w:rFonts w:ascii="Times New Roman" w:hAnsi="Times New Roman"/>
                <w:bCs/>
                <w:spacing w:val="-2"/>
              </w:rPr>
              <w:t xml:space="preserve"> modyfikację art. 34a </w:t>
            </w:r>
            <w:r w:rsidR="002E0723">
              <w:rPr>
                <w:rFonts w:ascii="Times New Roman" w:hAnsi="Times New Roman"/>
                <w:bCs/>
                <w:spacing w:val="-2"/>
              </w:rPr>
              <w:t xml:space="preserve">ustawy refundacyjnej </w:t>
            </w:r>
            <w:r>
              <w:rPr>
                <w:rFonts w:ascii="Times New Roman" w:hAnsi="Times New Roman"/>
                <w:bCs/>
                <w:spacing w:val="-2"/>
              </w:rPr>
              <w:t>tak aby dotyczył produktów nabyty przez apteki do 9 miesięcy od zajścia zdarzeń w nim wskazanych, a dla hurtowni farmaceutycznych</w:t>
            </w:r>
            <w:r w:rsidR="002E0723">
              <w:rPr>
                <w:rFonts w:ascii="Times New Roman" w:hAnsi="Times New Roman"/>
                <w:bCs/>
                <w:spacing w:val="-2"/>
              </w:rPr>
              <w:t xml:space="preserve"> –</w:t>
            </w:r>
            <w:r>
              <w:rPr>
                <w:rFonts w:ascii="Times New Roman" w:hAnsi="Times New Roman"/>
                <w:bCs/>
                <w:spacing w:val="-2"/>
              </w:rPr>
              <w:t xml:space="preserve"> produktów nabytych do 12 miesięcy przed zmianami wskazanymi w przepisie;</w:t>
            </w:r>
          </w:p>
          <w:p w14:paraId="44E5EB22" w14:textId="7CABAAC7" w:rsidR="00A70116" w:rsidRDefault="00A70116" w:rsidP="00C25785">
            <w:pPr>
              <w:numPr>
                <w:ilvl w:val="0"/>
                <w:numId w:val="37"/>
              </w:numPr>
              <w:spacing w:line="240" w:lineRule="auto"/>
              <w:jc w:val="both"/>
              <w:rPr>
                <w:rFonts w:ascii="Times New Roman" w:hAnsi="Times New Roman"/>
                <w:bCs/>
                <w:spacing w:val="-2"/>
              </w:rPr>
            </w:pPr>
            <w:r w:rsidRPr="00A70116">
              <w:rPr>
                <w:rFonts w:ascii="Times New Roman" w:hAnsi="Times New Roman"/>
                <w:bCs/>
                <w:spacing w:val="-2"/>
              </w:rPr>
              <w:t xml:space="preserve">w związku z problemem wskazanym w pkt </w:t>
            </w:r>
            <w:r w:rsidR="007E5179" w:rsidRPr="00A70116">
              <w:rPr>
                <w:rFonts w:ascii="Times New Roman" w:hAnsi="Times New Roman"/>
                <w:bCs/>
                <w:spacing w:val="-2"/>
              </w:rPr>
              <w:t>4</w:t>
            </w:r>
            <w:r w:rsidR="007E5179">
              <w:rPr>
                <w:rFonts w:ascii="Times New Roman" w:hAnsi="Times New Roman"/>
                <w:bCs/>
                <w:spacing w:val="-2"/>
              </w:rPr>
              <w:t>8</w:t>
            </w:r>
            <w:r w:rsidR="007E5179" w:rsidRPr="00A70116">
              <w:rPr>
                <w:rFonts w:ascii="Times New Roman" w:hAnsi="Times New Roman"/>
                <w:bCs/>
                <w:spacing w:val="-2"/>
              </w:rPr>
              <w:t xml:space="preserve"> </w:t>
            </w:r>
            <w:r w:rsidRPr="00A70116">
              <w:rPr>
                <w:rFonts w:ascii="Times New Roman" w:hAnsi="Times New Roman"/>
                <w:bCs/>
                <w:spacing w:val="-2"/>
              </w:rPr>
              <w:t>sekcji 1 OSR proponuje się</w:t>
            </w:r>
            <w:r w:rsidR="007C1271">
              <w:rPr>
                <w:rFonts w:ascii="Times New Roman" w:hAnsi="Times New Roman"/>
                <w:bCs/>
                <w:spacing w:val="-2"/>
              </w:rPr>
              <w:t xml:space="preserve"> </w:t>
            </w:r>
            <w:r w:rsidR="00DB3A87">
              <w:rPr>
                <w:rFonts w:ascii="Times New Roman" w:hAnsi="Times New Roman"/>
                <w:bCs/>
                <w:spacing w:val="-2"/>
              </w:rPr>
              <w:t xml:space="preserve">ograniczenie </w:t>
            </w:r>
            <w:r w:rsidR="007C1271">
              <w:rPr>
                <w:rFonts w:ascii="Times New Roman" w:hAnsi="Times New Roman"/>
                <w:bCs/>
                <w:spacing w:val="-2"/>
              </w:rPr>
              <w:t xml:space="preserve">łącznego czasu zawieszenia postępowania </w:t>
            </w:r>
            <w:r w:rsidR="002E0723">
              <w:rPr>
                <w:rFonts w:ascii="Times New Roman" w:hAnsi="Times New Roman"/>
                <w:bCs/>
                <w:spacing w:val="-2"/>
              </w:rPr>
              <w:t xml:space="preserve">refundacyjnego </w:t>
            </w:r>
            <w:r w:rsidR="007C1271">
              <w:rPr>
                <w:rFonts w:ascii="Times New Roman" w:hAnsi="Times New Roman"/>
                <w:bCs/>
                <w:spacing w:val="-2"/>
              </w:rPr>
              <w:t>na etapie przygotowania analizy weryfikacyjnej</w:t>
            </w:r>
            <w:r w:rsidR="002E0723">
              <w:rPr>
                <w:rFonts w:ascii="Times New Roman" w:hAnsi="Times New Roman"/>
                <w:bCs/>
                <w:spacing w:val="-2"/>
              </w:rPr>
              <w:t>,</w:t>
            </w:r>
            <w:r w:rsidR="007C1271">
              <w:rPr>
                <w:rFonts w:ascii="Times New Roman" w:hAnsi="Times New Roman"/>
                <w:bCs/>
                <w:spacing w:val="-2"/>
              </w:rPr>
              <w:t xml:space="preserve"> do łącznie 45 dni oraz wskazanie, że w</w:t>
            </w:r>
            <w:r w:rsidR="007C1271" w:rsidRPr="007C1271">
              <w:rPr>
                <w:rFonts w:ascii="Times New Roman" w:hAnsi="Times New Roman"/>
                <w:bCs/>
                <w:spacing w:val="-2"/>
              </w:rPr>
              <w:t xml:space="preserve"> przypadku gdy Prezes </w:t>
            </w:r>
            <w:r w:rsidR="007C1271">
              <w:rPr>
                <w:rFonts w:ascii="Times New Roman" w:hAnsi="Times New Roman"/>
                <w:bCs/>
                <w:spacing w:val="-2"/>
              </w:rPr>
              <w:t>AOTMiT</w:t>
            </w:r>
            <w:r w:rsidR="007C1271" w:rsidRPr="007C1271">
              <w:rPr>
                <w:rFonts w:ascii="Times New Roman" w:hAnsi="Times New Roman"/>
                <w:bCs/>
                <w:spacing w:val="-2"/>
              </w:rPr>
              <w:t xml:space="preserve"> oceni, że warunek, </w:t>
            </w:r>
            <w:r w:rsidR="007C1271">
              <w:rPr>
                <w:rFonts w:ascii="Times New Roman" w:hAnsi="Times New Roman"/>
                <w:bCs/>
                <w:spacing w:val="-2"/>
              </w:rPr>
              <w:t>który postawił w rekomendacji</w:t>
            </w:r>
            <w:r w:rsidR="007C1271" w:rsidRPr="007C1271">
              <w:rPr>
                <w:rFonts w:ascii="Times New Roman" w:hAnsi="Times New Roman"/>
                <w:bCs/>
                <w:spacing w:val="-2"/>
              </w:rPr>
              <w:t>, nie został spełniony, rekomendacja Prezesa zmienia się w negatywną</w:t>
            </w:r>
            <w:r w:rsidR="007C1271">
              <w:rPr>
                <w:rFonts w:ascii="Times New Roman" w:hAnsi="Times New Roman"/>
                <w:bCs/>
                <w:spacing w:val="-2"/>
              </w:rPr>
              <w:t>;</w:t>
            </w:r>
          </w:p>
          <w:p w14:paraId="6DF8473C" w14:textId="0F1740B1" w:rsidR="007C1271" w:rsidRDefault="00642B2F" w:rsidP="00C25785">
            <w:pPr>
              <w:numPr>
                <w:ilvl w:val="0"/>
                <w:numId w:val="37"/>
              </w:numPr>
              <w:spacing w:line="240" w:lineRule="auto"/>
              <w:jc w:val="both"/>
              <w:rPr>
                <w:rFonts w:ascii="Times New Roman" w:hAnsi="Times New Roman"/>
                <w:bCs/>
                <w:spacing w:val="-2"/>
              </w:rPr>
            </w:pPr>
            <w:r w:rsidRPr="00642B2F">
              <w:rPr>
                <w:rFonts w:ascii="Times New Roman" w:hAnsi="Times New Roman"/>
                <w:bCs/>
                <w:spacing w:val="-2"/>
              </w:rPr>
              <w:t xml:space="preserve">w związku z problemem wskazanym w pkt </w:t>
            </w:r>
            <w:r w:rsidR="007E5179" w:rsidRPr="00642B2F">
              <w:rPr>
                <w:rFonts w:ascii="Times New Roman" w:hAnsi="Times New Roman"/>
                <w:bCs/>
                <w:spacing w:val="-2"/>
              </w:rPr>
              <w:t>4</w:t>
            </w:r>
            <w:r w:rsidR="007E5179">
              <w:rPr>
                <w:rFonts w:ascii="Times New Roman" w:hAnsi="Times New Roman"/>
                <w:bCs/>
                <w:spacing w:val="-2"/>
              </w:rPr>
              <w:t>9</w:t>
            </w:r>
            <w:r w:rsidRPr="00642B2F">
              <w:rPr>
                <w:rFonts w:ascii="Times New Roman" w:hAnsi="Times New Roman"/>
                <w:bCs/>
                <w:spacing w:val="-2"/>
              </w:rPr>
              <w:t>sekcji 1 OSR</w:t>
            </w:r>
            <w:r>
              <w:rPr>
                <w:rFonts w:ascii="Times New Roman" w:hAnsi="Times New Roman"/>
                <w:bCs/>
                <w:spacing w:val="-2"/>
              </w:rPr>
              <w:t xml:space="preserve"> proponuj</w:t>
            </w:r>
            <w:r w:rsidR="00E73F4D">
              <w:rPr>
                <w:rFonts w:ascii="Times New Roman" w:hAnsi="Times New Roman"/>
                <w:bCs/>
                <w:spacing w:val="-2"/>
              </w:rPr>
              <w:t>e</w:t>
            </w:r>
            <w:r>
              <w:rPr>
                <w:rFonts w:ascii="Times New Roman" w:hAnsi="Times New Roman"/>
                <w:bCs/>
                <w:spacing w:val="-2"/>
              </w:rPr>
              <w:t xml:space="preserve"> się wpisanie ceny detalicznej do katalogu elementów</w:t>
            </w:r>
            <w:r w:rsidR="002E0723">
              <w:rPr>
                <w:rFonts w:ascii="Times New Roman" w:hAnsi="Times New Roman"/>
                <w:bCs/>
                <w:spacing w:val="-2"/>
              </w:rPr>
              <w:t>,</w:t>
            </w:r>
            <w:r>
              <w:rPr>
                <w:rFonts w:ascii="Times New Roman" w:hAnsi="Times New Roman"/>
                <w:bCs/>
                <w:spacing w:val="-2"/>
              </w:rPr>
              <w:t xml:space="preserve"> jakie zawiera obwieszczenie, o którym mowa w art. 37 ust. 1 ustawy refundacyjnej;</w:t>
            </w:r>
          </w:p>
          <w:p w14:paraId="5CE1EF24" w14:textId="228FA460" w:rsidR="00B05AE8" w:rsidRDefault="00B05AE8" w:rsidP="00C25785">
            <w:pPr>
              <w:numPr>
                <w:ilvl w:val="0"/>
                <w:numId w:val="37"/>
              </w:numPr>
              <w:spacing w:line="240" w:lineRule="auto"/>
              <w:jc w:val="both"/>
              <w:rPr>
                <w:rFonts w:ascii="Times New Roman" w:hAnsi="Times New Roman"/>
                <w:bCs/>
                <w:spacing w:val="-2"/>
              </w:rPr>
            </w:pPr>
            <w:r w:rsidRPr="00B05AE8">
              <w:rPr>
                <w:rFonts w:ascii="Times New Roman" w:hAnsi="Times New Roman"/>
                <w:bCs/>
                <w:spacing w:val="-2"/>
              </w:rPr>
              <w:t xml:space="preserve">w związku z problemem wskazanym w pkt </w:t>
            </w:r>
            <w:r w:rsidR="001A5A6C">
              <w:rPr>
                <w:rFonts w:ascii="Times New Roman" w:hAnsi="Times New Roman"/>
                <w:bCs/>
                <w:spacing w:val="-2"/>
              </w:rPr>
              <w:t>50</w:t>
            </w:r>
            <w:r w:rsidR="001A5A6C" w:rsidRPr="00B05AE8">
              <w:rPr>
                <w:rFonts w:ascii="Times New Roman" w:hAnsi="Times New Roman"/>
                <w:bCs/>
                <w:spacing w:val="-2"/>
              </w:rPr>
              <w:t xml:space="preserve"> </w:t>
            </w:r>
            <w:r w:rsidRPr="00B05AE8">
              <w:rPr>
                <w:rFonts w:ascii="Times New Roman" w:hAnsi="Times New Roman"/>
                <w:bCs/>
                <w:spacing w:val="-2"/>
              </w:rPr>
              <w:t xml:space="preserve">sekcji 1 OSR </w:t>
            </w:r>
            <w:r w:rsidR="001B3E79" w:rsidRPr="00B05AE8">
              <w:rPr>
                <w:rFonts w:ascii="Times New Roman" w:hAnsi="Times New Roman"/>
                <w:bCs/>
                <w:spacing w:val="-2"/>
              </w:rPr>
              <w:t>proponuj</w:t>
            </w:r>
            <w:r w:rsidR="001B3E79">
              <w:rPr>
                <w:rFonts w:ascii="Times New Roman" w:hAnsi="Times New Roman"/>
                <w:bCs/>
                <w:spacing w:val="-2"/>
              </w:rPr>
              <w:t>e</w:t>
            </w:r>
            <w:r w:rsidR="001B3E79" w:rsidRPr="00B05AE8">
              <w:rPr>
                <w:rFonts w:ascii="Times New Roman" w:hAnsi="Times New Roman"/>
                <w:bCs/>
                <w:spacing w:val="-2"/>
              </w:rPr>
              <w:t xml:space="preserve"> </w:t>
            </w:r>
            <w:r w:rsidRPr="00B05AE8">
              <w:rPr>
                <w:rFonts w:ascii="Times New Roman" w:hAnsi="Times New Roman"/>
                <w:bCs/>
                <w:spacing w:val="-2"/>
              </w:rPr>
              <w:t>się</w:t>
            </w:r>
            <w:r w:rsidR="003E729A">
              <w:rPr>
                <w:rFonts w:ascii="Times New Roman" w:hAnsi="Times New Roman"/>
                <w:bCs/>
                <w:spacing w:val="-2"/>
              </w:rPr>
              <w:t xml:space="preserve"> szereg zmian w </w:t>
            </w:r>
            <w:r w:rsidR="001B3E79">
              <w:rPr>
                <w:rFonts w:ascii="Times New Roman" w:hAnsi="Times New Roman"/>
                <w:bCs/>
                <w:spacing w:val="-2"/>
              </w:rPr>
              <w:t xml:space="preserve">ustawie refundacyjnej w </w:t>
            </w:r>
            <w:r w:rsidR="00E73F4D">
              <w:rPr>
                <w:rFonts w:ascii="Times New Roman" w:hAnsi="Times New Roman"/>
                <w:bCs/>
                <w:spacing w:val="-2"/>
              </w:rPr>
              <w:t>r</w:t>
            </w:r>
            <w:r w:rsidR="003E729A">
              <w:rPr>
                <w:rFonts w:ascii="Times New Roman" w:hAnsi="Times New Roman"/>
                <w:bCs/>
                <w:spacing w:val="-2"/>
              </w:rPr>
              <w:t xml:space="preserve">ozdziale 6 </w:t>
            </w:r>
            <w:r w:rsidR="003E729A" w:rsidRPr="003E729A">
              <w:rPr>
                <w:rFonts w:ascii="Times New Roman" w:hAnsi="Times New Roman"/>
                <w:bCs/>
                <w:spacing w:val="-2"/>
              </w:rPr>
              <w:t>Apteki i osoby uprawnione</w:t>
            </w:r>
            <w:r w:rsidR="003E729A">
              <w:rPr>
                <w:rFonts w:ascii="Times New Roman" w:hAnsi="Times New Roman"/>
                <w:bCs/>
                <w:spacing w:val="-2"/>
              </w:rPr>
              <w:t xml:space="preserve"> </w:t>
            </w:r>
            <w:r w:rsidR="00B84E37">
              <w:rPr>
                <w:rFonts w:ascii="Times New Roman" w:hAnsi="Times New Roman"/>
                <w:bCs/>
                <w:spacing w:val="-2"/>
              </w:rPr>
              <w:t xml:space="preserve">polegających </w:t>
            </w:r>
            <w:r w:rsidR="003E729A">
              <w:rPr>
                <w:rFonts w:ascii="Times New Roman" w:hAnsi="Times New Roman"/>
                <w:bCs/>
                <w:spacing w:val="-2"/>
              </w:rPr>
              <w:t>na:</w:t>
            </w:r>
          </w:p>
          <w:p w14:paraId="758A735F" w14:textId="40219C71" w:rsidR="003E729A" w:rsidRDefault="00B84E37" w:rsidP="003E729A">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umożliwieniu </w:t>
            </w:r>
            <w:r w:rsidR="006372D8">
              <w:rPr>
                <w:rFonts w:ascii="Times New Roman" w:hAnsi="Times New Roman"/>
                <w:bCs/>
                <w:spacing w:val="-2"/>
              </w:rPr>
              <w:t xml:space="preserve">zastosowania </w:t>
            </w:r>
            <w:r w:rsidR="006372D8" w:rsidRPr="006372D8">
              <w:rPr>
                <w:rFonts w:ascii="Times New Roman" w:hAnsi="Times New Roman"/>
                <w:bCs/>
                <w:spacing w:val="-2"/>
              </w:rPr>
              <w:t xml:space="preserve">profilu zaufanego </w:t>
            </w:r>
            <w:r w:rsidR="006372D8">
              <w:rPr>
                <w:rFonts w:ascii="Times New Roman" w:hAnsi="Times New Roman"/>
                <w:bCs/>
                <w:spacing w:val="-2"/>
              </w:rPr>
              <w:t xml:space="preserve">jako podpisu, którym </w:t>
            </w:r>
            <w:r w:rsidR="006372D8" w:rsidRPr="006372D8">
              <w:rPr>
                <w:rFonts w:ascii="Times New Roman" w:hAnsi="Times New Roman"/>
                <w:bCs/>
                <w:spacing w:val="-2"/>
              </w:rPr>
              <w:t xml:space="preserve">mogą się posługiwać osoby zawierające umowę na realizację recept z </w:t>
            </w:r>
            <w:r w:rsidR="009A4658">
              <w:rPr>
                <w:rFonts w:ascii="Times New Roman" w:hAnsi="Times New Roman"/>
                <w:bCs/>
                <w:spacing w:val="-2"/>
              </w:rPr>
              <w:t>NFZ</w:t>
            </w:r>
            <w:r w:rsidR="006372D8">
              <w:rPr>
                <w:rFonts w:ascii="Times New Roman" w:hAnsi="Times New Roman"/>
                <w:bCs/>
                <w:spacing w:val="-2"/>
              </w:rPr>
              <w:t>,</w:t>
            </w:r>
          </w:p>
          <w:p w14:paraId="12C0FEC7" w14:textId="7187A63E" w:rsidR="006372D8" w:rsidRDefault="00B84E37" w:rsidP="003E729A">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umożliwieniu </w:t>
            </w:r>
            <w:r w:rsidRPr="006372D8">
              <w:rPr>
                <w:rFonts w:ascii="Times New Roman" w:hAnsi="Times New Roman"/>
                <w:bCs/>
                <w:spacing w:val="-2"/>
              </w:rPr>
              <w:t>odstąpieni</w:t>
            </w:r>
            <w:r>
              <w:rPr>
                <w:rFonts w:ascii="Times New Roman" w:hAnsi="Times New Roman"/>
                <w:bCs/>
                <w:spacing w:val="-2"/>
              </w:rPr>
              <w:t xml:space="preserve">a </w:t>
            </w:r>
            <w:r w:rsidR="006372D8" w:rsidRPr="006372D8">
              <w:rPr>
                <w:rFonts w:ascii="Times New Roman" w:hAnsi="Times New Roman"/>
                <w:bCs/>
                <w:spacing w:val="-2"/>
              </w:rPr>
              <w:t xml:space="preserve">od rozwiązania umowy </w:t>
            </w:r>
            <w:r w:rsidR="009A4658">
              <w:rPr>
                <w:rFonts w:ascii="Times New Roman" w:hAnsi="Times New Roman"/>
                <w:bCs/>
                <w:spacing w:val="-2"/>
              </w:rPr>
              <w:t xml:space="preserve">na realizację recept refundowanych </w:t>
            </w:r>
            <w:r w:rsidR="006372D8" w:rsidRPr="006372D8">
              <w:rPr>
                <w:rFonts w:ascii="Times New Roman" w:hAnsi="Times New Roman"/>
                <w:bCs/>
                <w:spacing w:val="-2"/>
              </w:rPr>
              <w:t>ze skutkiem natychmiastowym, w przypadkach, gdy waga niewykonanych zaleceń pokontrolnych jest niewielka</w:t>
            </w:r>
            <w:r w:rsidR="009A4658">
              <w:rPr>
                <w:rFonts w:ascii="Times New Roman" w:hAnsi="Times New Roman"/>
                <w:bCs/>
                <w:spacing w:val="-2"/>
              </w:rPr>
              <w:t>,</w:t>
            </w:r>
          </w:p>
          <w:p w14:paraId="5AC2C29F" w14:textId="4E7640C4" w:rsidR="006372D8" w:rsidRDefault="00B84E37" w:rsidP="003E729A">
            <w:pPr>
              <w:numPr>
                <w:ilvl w:val="1"/>
                <w:numId w:val="37"/>
              </w:numPr>
              <w:spacing w:line="240" w:lineRule="auto"/>
              <w:jc w:val="both"/>
              <w:rPr>
                <w:rFonts w:ascii="Times New Roman" w:hAnsi="Times New Roman"/>
                <w:bCs/>
                <w:spacing w:val="-2"/>
              </w:rPr>
            </w:pPr>
            <w:r>
              <w:rPr>
                <w:rFonts w:ascii="Times New Roman" w:hAnsi="Times New Roman"/>
                <w:bCs/>
                <w:spacing w:val="-2"/>
              </w:rPr>
              <w:t>z</w:t>
            </w:r>
            <w:r w:rsidRPr="006372D8">
              <w:rPr>
                <w:rFonts w:ascii="Times New Roman" w:hAnsi="Times New Roman"/>
                <w:bCs/>
                <w:spacing w:val="-2"/>
              </w:rPr>
              <w:t>równani</w:t>
            </w:r>
            <w:r>
              <w:rPr>
                <w:rFonts w:ascii="Times New Roman" w:hAnsi="Times New Roman"/>
                <w:bCs/>
                <w:spacing w:val="-2"/>
              </w:rPr>
              <w:t>u</w:t>
            </w:r>
            <w:r w:rsidRPr="006372D8">
              <w:rPr>
                <w:rFonts w:ascii="Times New Roman" w:hAnsi="Times New Roman"/>
                <w:bCs/>
                <w:spacing w:val="-2"/>
              </w:rPr>
              <w:t xml:space="preserve"> </w:t>
            </w:r>
            <w:r w:rsidR="006372D8" w:rsidRPr="006372D8">
              <w:rPr>
                <w:rFonts w:ascii="Times New Roman" w:hAnsi="Times New Roman"/>
                <w:bCs/>
                <w:spacing w:val="-2"/>
              </w:rPr>
              <w:t>sytuacji prawnej podmiotów posiadających umowy z NFZ</w:t>
            </w:r>
            <w:r w:rsidR="009A4658">
              <w:rPr>
                <w:rFonts w:ascii="Times New Roman" w:hAnsi="Times New Roman"/>
                <w:bCs/>
                <w:spacing w:val="-2"/>
              </w:rPr>
              <w:t>,</w:t>
            </w:r>
            <w:r w:rsidR="006372D8">
              <w:rPr>
                <w:rFonts w:ascii="Times New Roman" w:hAnsi="Times New Roman"/>
                <w:bCs/>
                <w:spacing w:val="-2"/>
              </w:rPr>
              <w:t xml:space="preserve"> co wynika z ujednoliceni</w:t>
            </w:r>
            <w:r w:rsidR="009A4658">
              <w:rPr>
                <w:rFonts w:ascii="Times New Roman" w:hAnsi="Times New Roman"/>
                <w:bCs/>
                <w:spacing w:val="-2"/>
              </w:rPr>
              <w:t>a</w:t>
            </w:r>
            <w:r w:rsidR="006372D8">
              <w:rPr>
                <w:rFonts w:ascii="Times New Roman" w:hAnsi="Times New Roman"/>
                <w:bCs/>
                <w:spacing w:val="-2"/>
              </w:rPr>
              <w:t xml:space="preserve"> przepisów w związku ze zmianami</w:t>
            </w:r>
            <w:r w:rsidR="009A4658">
              <w:rPr>
                <w:rFonts w:ascii="Times New Roman" w:hAnsi="Times New Roman"/>
                <w:bCs/>
                <w:spacing w:val="-2"/>
              </w:rPr>
              <w:t>,</w:t>
            </w:r>
            <w:r w:rsidR="006372D8">
              <w:rPr>
                <w:rFonts w:ascii="Times New Roman" w:hAnsi="Times New Roman"/>
                <w:bCs/>
                <w:spacing w:val="-2"/>
              </w:rPr>
              <w:t xml:space="preserve"> jakie wprowadziła </w:t>
            </w:r>
            <w:r w:rsidR="006372D8" w:rsidRPr="006372D8">
              <w:rPr>
                <w:rFonts w:ascii="Times New Roman" w:hAnsi="Times New Roman"/>
                <w:bCs/>
                <w:spacing w:val="-2"/>
              </w:rPr>
              <w:t>ustaw</w:t>
            </w:r>
            <w:r w:rsidR="006372D8">
              <w:rPr>
                <w:rFonts w:ascii="Times New Roman" w:hAnsi="Times New Roman"/>
                <w:bCs/>
                <w:spacing w:val="-2"/>
              </w:rPr>
              <w:t>a</w:t>
            </w:r>
            <w:r w:rsidR="006372D8" w:rsidRPr="006372D8">
              <w:rPr>
                <w:rFonts w:ascii="Times New Roman" w:hAnsi="Times New Roman"/>
                <w:bCs/>
                <w:spacing w:val="-2"/>
              </w:rPr>
              <w:t xml:space="preserve"> z dnia 14 sierpnia 2020 r. o zmianie niektórych ustaw w celu zapewnienia funkcjonowania ochrony zdrowia w związku z epidemią COVID-19 oraz po jej ustaniu (Dz.</w:t>
            </w:r>
            <w:r w:rsidR="006372D8">
              <w:rPr>
                <w:rFonts w:ascii="Times New Roman" w:hAnsi="Times New Roman"/>
                <w:bCs/>
                <w:spacing w:val="-2"/>
              </w:rPr>
              <w:t xml:space="preserve"> </w:t>
            </w:r>
            <w:r w:rsidR="006372D8" w:rsidRPr="006372D8">
              <w:rPr>
                <w:rFonts w:ascii="Times New Roman" w:hAnsi="Times New Roman"/>
                <w:bCs/>
                <w:spacing w:val="-2"/>
              </w:rPr>
              <w:t>U. poz. 1493)</w:t>
            </w:r>
            <w:r w:rsidR="009A4658">
              <w:rPr>
                <w:rFonts w:ascii="Times New Roman" w:hAnsi="Times New Roman"/>
                <w:bCs/>
                <w:spacing w:val="-2"/>
              </w:rPr>
              <w:t>,</w:t>
            </w:r>
          </w:p>
          <w:p w14:paraId="270C79D4" w14:textId="4D9089F6" w:rsidR="006372D8" w:rsidRDefault="00B84E37" w:rsidP="003E729A">
            <w:pPr>
              <w:numPr>
                <w:ilvl w:val="1"/>
                <w:numId w:val="37"/>
              </w:numPr>
              <w:spacing w:line="240" w:lineRule="auto"/>
              <w:jc w:val="both"/>
              <w:rPr>
                <w:rFonts w:ascii="Times New Roman" w:hAnsi="Times New Roman"/>
                <w:bCs/>
                <w:spacing w:val="-2"/>
              </w:rPr>
            </w:pPr>
            <w:r>
              <w:rPr>
                <w:rFonts w:ascii="Times New Roman" w:hAnsi="Times New Roman"/>
                <w:bCs/>
                <w:spacing w:val="-2"/>
              </w:rPr>
              <w:t>d</w:t>
            </w:r>
            <w:r w:rsidRPr="006372D8">
              <w:rPr>
                <w:rFonts w:ascii="Times New Roman" w:hAnsi="Times New Roman"/>
                <w:bCs/>
                <w:spacing w:val="-2"/>
              </w:rPr>
              <w:t>oprecyzowani</w:t>
            </w:r>
            <w:r>
              <w:rPr>
                <w:rFonts w:ascii="Times New Roman" w:hAnsi="Times New Roman"/>
                <w:bCs/>
                <w:spacing w:val="-2"/>
              </w:rPr>
              <w:t>u</w:t>
            </w:r>
            <w:r w:rsidR="006372D8" w:rsidRPr="006372D8">
              <w:rPr>
                <w:rFonts w:ascii="Times New Roman" w:hAnsi="Times New Roman"/>
                <w:bCs/>
                <w:spacing w:val="-2"/>
              </w:rPr>
              <w:t>, że terminy wskazane w</w:t>
            </w:r>
            <w:r w:rsidR="006372D8">
              <w:rPr>
                <w:rFonts w:ascii="Times New Roman" w:hAnsi="Times New Roman"/>
                <w:bCs/>
                <w:spacing w:val="-2"/>
              </w:rPr>
              <w:t xml:space="preserve"> art. 45</w:t>
            </w:r>
            <w:r w:rsidR="006372D8" w:rsidRPr="006372D8">
              <w:rPr>
                <w:rFonts w:ascii="Times New Roman" w:hAnsi="Times New Roman"/>
                <w:bCs/>
                <w:spacing w:val="-2"/>
              </w:rPr>
              <w:t xml:space="preserve"> ust. 6 </w:t>
            </w:r>
            <w:r w:rsidR="00A81CF9">
              <w:rPr>
                <w:rFonts w:ascii="Times New Roman" w:hAnsi="Times New Roman"/>
                <w:bCs/>
                <w:spacing w:val="-2"/>
              </w:rPr>
              <w:t xml:space="preserve">ustawy refundacyjnej </w:t>
            </w:r>
            <w:r w:rsidR="006372D8" w:rsidRPr="006372D8">
              <w:rPr>
                <w:rFonts w:ascii="Times New Roman" w:hAnsi="Times New Roman"/>
                <w:bCs/>
                <w:spacing w:val="-2"/>
              </w:rPr>
              <w:t>nie odnoszą się do uzgodnionego zestawienia zbiorczego, lecz do wstępnych danych składanych w formie komunikatu elektronicznego, będącego przedmiotem procesu uzgadniania danych, prowadzonego pomiędzy NFZ a podmiotem prowadzącym aptekę</w:t>
            </w:r>
            <w:r w:rsidR="006372D8">
              <w:rPr>
                <w:rFonts w:ascii="Times New Roman" w:hAnsi="Times New Roman"/>
                <w:bCs/>
                <w:spacing w:val="-2"/>
              </w:rPr>
              <w:t>,</w:t>
            </w:r>
          </w:p>
          <w:p w14:paraId="2EF55FC5" w14:textId="738C5C1D" w:rsidR="006372D8" w:rsidRDefault="00B84E37" w:rsidP="003E729A">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odwołaniu </w:t>
            </w:r>
            <w:r w:rsidR="00A81CF9">
              <w:rPr>
                <w:rFonts w:ascii="Times New Roman" w:hAnsi="Times New Roman"/>
                <w:bCs/>
                <w:spacing w:val="-2"/>
              </w:rPr>
              <w:t>się w art. 45 ust</w:t>
            </w:r>
            <w:r w:rsidR="00F74886" w:rsidRPr="00F74886">
              <w:rPr>
                <w:rFonts w:ascii="Times New Roman" w:hAnsi="Times New Roman"/>
                <w:bCs/>
                <w:spacing w:val="-2"/>
              </w:rPr>
              <w:t xml:space="preserve"> </w:t>
            </w:r>
            <w:r w:rsidR="00A81CF9">
              <w:rPr>
                <w:rFonts w:ascii="Times New Roman" w:hAnsi="Times New Roman"/>
                <w:bCs/>
                <w:spacing w:val="-2"/>
              </w:rPr>
              <w:t xml:space="preserve">13 ustawy refundacyjnej również do </w:t>
            </w:r>
            <w:r w:rsidR="00F74886" w:rsidRPr="00F74886">
              <w:rPr>
                <w:rFonts w:ascii="Times New Roman" w:hAnsi="Times New Roman"/>
                <w:bCs/>
                <w:spacing w:val="-2"/>
              </w:rPr>
              <w:t xml:space="preserve">realizacji obowiązku, o którym mowa w art. 43 ust. 1 pkt 6 </w:t>
            </w:r>
            <w:r w:rsidR="0019086E">
              <w:rPr>
                <w:rFonts w:ascii="Times New Roman" w:hAnsi="Times New Roman"/>
                <w:bCs/>
                <w:spacing w:val="-2"/>
              </w:rPr>
              <w:t xml:space="preserve">tej </w:t>
            </w:r>
            <w:r w:rsidR="00F74886" w:rsidRPr="00F74886">
              <w:rPr>
                <w:rFonts w:ascii="Times New Roman" w:hAnsi="Times New Roman"/>
                <w:bCs/>
                <w:spacing w:val="-2"/>
              </w:rPr>
              <w:t>ustawy</w:t>
            </w:r>
            <w:r w:rsidR="00A81CF9">
              <w:rPr>
                <w:rFonts w:ascii="Times New Roman" w:hAnsi="Times New Roman"/>
                <w:bCs/>
                <w:spacing w:val="-2"/>
              </w:rPr>
              <w:t>,</w:t>
            </w:r>
          </w:p>
          <w:p w14:paraId="500991FD" w14:textId="384B2F6B" w:rsidR="00A81CF9" w:rsidRDefault="00B84E37" w:rsidP="00A81CF9">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doprecyzowaniu </w:t>
            </w:r>
            <w:r w:rsidR="00A81CF9" w:rsidRPr="00A81CF9">
              <w:rPr>
                <w:rFonts w:ascii="Times New Roman" w:hAnsi="Times New Roman"/>
                <w:bCs/>
                <w:spacing w:val="-2"/>
              </w:rPr>
              <w:t>zakresu informacji przekazywanych przez apteki</w:t>
            </w:r>
            <w:r w:rsidR="00A81CF9">
              <w:rPr>
                <w:rFonts w:ascii="Times New Roman" w:hAnsi="Times New Roman"/>
                <w:bCs/>
                <w:spacing w:val="-2"/>
              </w:rPr>
              <w:t xml:space="preserve"> </w:t>
            </w:r>
            <w:r w:rsidR="001B3E79">
              <w:rPr>
                <w:rFonts w:ascii="Times New Roman" w:hAnsi="Times New Roman"/>
                <w:bCs/>
                <w:spacing w:val="-2"/>
              </w:rPr>
              <w:t>na podstawie</w:t>
            </w:r>
            <w:r w:rsidR="00A81CF9">
              <w:rPr>
                <w:rFonts w:ascii="Times New Roman" w:hAnsi="Times New Roman"/>
                <w:bCs/>
                <w:spacing w:val="-2"/>
              </w:rPr>
              <w:t xml:space="preserve"> art. 45a ustawy refundacyjnej</w:t>
            </w:r>
            <w:r w:rsidR="00661208">
              <w:rPr>
                <w:rFonts w:ascii="Times New Roman" w:hAnsi="Times New Roman"/>
                <w:bCs/>
                <w:spacing w:val="-2"/>
              </w:rPr>
              <w:t>,</w:t>
            </w:r>
          </w:p>
          <w:p w14:paraId="4CB0D4D6" w14:textId="7926B52C" w:rsidR="00A81CF9" w:rsidRDefault="00B84E37" w:rsidP="00A81CF9">
            <w:pPr>
              <w:numPr>
                <w:ilvl w:val="1"/>
                <w:numId w:val="37"/>
              </w:numPr>
              <w:spacing w:line="240" w:lineRule="auto"/>
              <w:jc w:val="both"/>
              <w:rPr>
                <w:rFonts w:ascii="Times New Roman" w:hAnsi="Times New Roman"/>
                <w:bCs/>
                <w:spacing w:val="-2"/>
              </w:rPr>
            </w:pPr>
            <w:r>
              <w:rPr>
                <w:rFonts w:ascii="Times New Roman" w:hAnsi="Times New Roman"/>
                <w:bCs/>
                <w:spacing w:val="-2"/>
              </w:rPr>
              <w:t xml:space="preserve">doprecyzowaniu </w:t>
            </w:r>
            <w:r w:rsidR="00661208">
              <w:rPr>
                <w:rFonts w:ascii="Times New Roman" w:hAnsi="Times New Roman"/>
                <w:bCs/>
                <w:spacing w:val="-2"/>
              </w:rPr>
              <w:t xml:space="preserve">danych zamieszczanych w </w:t>
            </w:r>
            <w:r w:rsidR="00661208" w:rsidRPr="00661208">
              <w:rPr>
                <w:rFonts w:ascii="Times New Roman" w:hAnsi="Times New Roman"/>
                <w:bCs/>
                <w:spacing w:val="-2"/>
              </w:rPr>
              <w:t xml:space="preserve">Biuletynie Informacji Publicznej </w:t>
            </w:r>
            <w:r w:rsidR="00D00CD8">
              <w:rPr>
                <w:rFonts w:ascii="Times New Roman" w:hAnsi="Times New Roman"/>
                <w:bCs/>
                <w:spacing w:val="-2"/>
              </w:rPr>
              <w:t xml:space="preserve">NFZ </w:t>
            </w:r>
            <w:r w:rsidR="00661208" w:rsidRPr="00661208">
              <w:rPr>
                <w:rFonts w:ascii="Times New Roman" w:hAnsi="Times New Roman"/>
                <w:bCs/>
                <w:spacing w:val="-2"/>
              </w:rPr>
              <w:t xml:space="preserve">o zrealizowanej refundacji z budżetu </w:t>
            </w:r>
            <w:r w:rsidR="009A4658">
              <w:rPr>
                <w:rFonts w:ascii="Times New Roman" w:hAnsi="Times New Roman"/>
                <w:bCs/>
                <w:spacing w:val="-2"/>
              </w:rPr>
              <w:t>NFZ</w:t>
            </w:r>
            <w:r w:rsidR="00661208" w:rsidRPr="00661208">
              <w:rPr>
                <w:rFonts w:ascii="Times New Roman" w:hAnsi="Times New Roman"/>
                <w:bCs/>
                <w:spacing w:val="-2"/>
              </w:rPr>
              <w:t xml:space="preserve"> za rok poprzedni dla każdej apteki i każdego podmiotu realizującego zlecenia na zaopatrzenie w wyroby medyczne</w:t>
            </w:r>
            <w:r w:rsidR="00661208">
              <w:rPr>
                <w:rFonts w:ascii="Times New Roman" w:hAnsi="Times New Roman"/>
                <w:bCs/>
                <w:spacing w:val="-2"/>
              </w:rPr>
              <w:t>,</w:t>
            </w:r>
          </w:p>
          <w:p w14:paraId="0561BD54" w14:textId="2BB08B4C" w:rsidR="00661208" w:rsidRDefault="00661208" w:rsidP="00A81CF9">
            <w:pPr>
              <w:numPr>
                <w:ilvl w:val="1"/>
                <w:numId w:val="37"/>
              </w:numPr>
              <w:spacing w:line="240" w:lineRule="auto"/>
              <w:jc w:val="both"/>
              <w:rPr>
                <w:rFonts w:ascii="Times New Roman" w:hAnsi="Times New Roman"/>
                <w:bCs/>
                <w:spacing w:val="-2"/>
              </w:rPr>
            </w:pPr>
            <w:r>
              <w:rPr>
                <w:rFonts w:ascii="Times New Roman" w:hAnsi="Times New Roman"/>
                <w:bCs/>
                <w:spacing w:val="-2"/>
              </w:rPr>
              <w:t>wprowadzenie miarkowania kar</w:t>
            </w:r>
            <w:r w:rsidR="00FB626D">
              <w:rPr>
                <w:rFonts w:ascii="Times New Roman" w:hAnsi="Times New Roman"/>
                <w:bCs/>
                <w:spacing w:val="-2"/>
              </w:rPr>
              <w:t>, o których</w:t>
            </w:r>
            <w:r>
              <w:rPr>
                <w:rFonts w:ascii="Times New Roman" w:hAnsi="Times New Roman"/>
                <w:bCs/>
                <w:spacing w:val="-2"/>
              </w:rPr>
              <w:t xml:space="preserve"> </w:t>
            </w:r>
            <w:r w:rsidR="00FB626D">
              <w:rPr>
                <w:rFonts w:ascii="Times New Roman" w:hAnsi="Times New Roman"/>
                <w:bCs/>
                <w:spacing w:val="-2"/>
              </w:rPr>
              <w:t xml:space="preserve">w art. 48 ust. </w:t>
            </w:r>
            <w:r w:rsidR="00FB626D" w:rsidRPr="00FB626D">
              <w:rPr>
                <w:rFonts w:ascii="Times New Roman" w:hAnsi="Times New Roman"/>
                <w:bCs/>
                <w:spacing w:val="-2"/>
              </w:rPr>
              <w:t>7a lub 7e</w:t>
            </w:r>
            <w:r w:rsidR="009A4658">
              <w:rPr>
                <w:rFonts w:ascii="Times New Roman" w:hAnsi="Times New Roman"/>
                <w:bCs/>
                <w:spacing w:val="-2"/>
              </w:rPr>
              <w:t xml:space="preserve"> ustawy refundacyjnej</w:t>
            </w:r>
            <w:r w:rsidR="00FB626D">
              <w:rPr>
                <w:rFonts w:ascii="Times New Roman" w:hAnsi="Times New Roman"/>
                <w:bCs/>
                <w:spacing w:val="-2"/>
              </w:rPr>
              <w:t>;</w:t>
            </w:r>
          </w:p>
          <w:p w14:paraId="5265DE78" w14:textId="0655B63F" w:rsidR="00FB626D" w:rsidRDefault="0090109E" w:rsidP="005E3E4F">
            <w:pPr>
              <w:numPr>
                <w:ilvl w:val="0"/>
                <w:numId w:val="37"/>
              </w:numPr>
              <w:spacing w:line="240" w:lineRule="auto"/>
              <w:jc w:val="both"/>
              <w:rPr>
                <w:rFonts w:ascii="Times New Roman" w:hAnsi="Times New Roman"/>
                <w:bCs/>
                <w:spacing w:val="-2"/>
              </w:rPr>
            </w:pPr>
            <w:r>
              <w:rPr>
                <w:rFonts w:ascii="Times New Roman" w:hAnsi="Times New Roman"/>
                <w:bCs/>
                <w:spacing w:val="-2"/>
              </w:rPr>
              <w:t xml:space="preserve"> </w:t>
            </w:r>
            <w:r w:rsidR="00FB626D" w:rsidRPr="00FB626D">
              <w:rPr>
                <w:rFonts w:ascii="Times New Roman" w:hAnsi="Times New Roman"/>
                <w:bCs/>
                <w:spacing w:val="-2"/>
              </w:rPr>
              <w:t xml:space="preserve">w związku z problemem wskazanym w pkt </w:t>
            </w:r>
            <w:r w:rsidR="00106348">
              <w:rPr>
                <w:rFonts w:ascii="Times New Roman" w:hAnsi="Times New Roman"/>
                <w:bCs/>
                <w:spacing w:val="-2"/>
              </w:rPr>
              <w:t>51</w:t>
            </w:r>
            <w:r w:rsidR="00106348" w:rsidRPr="00FB626D">
              <w:rPr>
                <w:rFonts w:ascii="Times New Roman" w:hAnsi="Times New Roman"/>
                <w:bCs/>
                <w:spacing w:val="-2"/>
              </w:rPr>
              <w:t xml:space="preserve"> </w:t>
            </w:r>
            <w:r w:rsidR="00FB626D" w:rsidRPr="00FB626D">
              <w:rPr>
                <w:rFonts w:ascii="Times New Roman" w:hAnsi="Times New Roman"/>
                <w:bCs/>
                <w:spacing w:val="-2"/>
              </w:rPr>
              <w:t>sekcji 1 OSR proponuj</w:t>
            </w:r>
            <w:r w:rsidR="00E73F4D">
              <w:rPr>
                <w:rFonts w:ascii="Times New Roman" w:hAnsi="Times New Roman"/>
                <w:bCs/>
                <w:spacing w:val="-2"/>
              </w:rPr>
              <w:t>e</w:t>
            </w:r>
            <w:r w:rsidR="00FB626D" w:rsidRPr="00FB626D">
              <w:rPr>
                <w:rFonts w:ascii="Times New Roman" w:hAnsi="Times New Roman"/>
                <w:bCs/>
                <w:spacing w:val="-2"/>
              </w:rPr>
              <w:t xml:space="preserve"> się</w:t>
            </w:r>
            <w:r w:rsidR="008F6E69">
              <w:rPr>
                <w:rFonts w:ascii="Times New Roman" w:hAnsi="Times New Roman"/>
                <w:bCs/>
                <w:spacing w:val="-2"/>
              </w:rPr>
              <w:t xml:space="preserve"> </w:t>
            </w:r>
            <w:r w:rsidR="008F6E69" w:rsidRPr="008F6E69">
              <w:rPr>
                <w:rFonts w:ascii="Times New Roman" w:hAnsi="Times New Roman"/>
                <w:bCs/>
                <w:spacing w:val="-2"/>
              </w:rPr>
              <w:t>rozwiązanie ma</w:t>
            </w:r>
            <w:r w:rsidR="008F6E69">
              <w:rPr>
                <w:rFonts w:ascii="Times New Roman" w:hAnsi="Times New Roman"/>
                <w:bCs/>
                <w:spacing w:val="-2"/>
              </w:rPr>
              <w:t>jące</w:t>
            </w:r>
            <w:r w:rsidR="008F6E69" w:rsidRPr="008F6E69">
              <w:rPr>
                <w:rFonts w:ascii="Times New Roman" w:hAnsi="Times New Roman"/>
                <w:bCs/>
                <w:spacing w:val="-2"/>
              </w:rPr>
              <w:t xml:space="preserve"> na celu usunięcie wątpliwości interpretacyjnej co do zakresu stosowania przepisu</w:t>
            </w:r>
            <w:r w:rsidR="00A57865" w:rsidRPr="008F6E69">
              <w:rPr>
                <w:rFonts w:ascii="Times New Roman" w:hAnsi="Times New Roman"/>
                <w:bCs/>
                <w:spacing w:val="-2"/>
              </w:rPr>
              <w:t xml:space="preserve"> art. 127c ustawy – Prawo farmaceutyczne</w:t>
            </w:r>
            <w:r w:rsidR="008F6E69" w:rsidRPr="008F6E69">
              <w:rPr>
                <w:rFonts w:ascii="Times New Roman" w:hAnsi="Times New Roman"/>
                <w:bCs/>
                <w:spacing w:val="-2"/>
              </w:rPr>
              <w:t xml:space="preserve">, a jednocześnie ujednolicenie wewnętrznej budowy </w:t>
            </w:r>
            <w:r w:rsidR="00A57865">
              <w:rPr>
                <w:rFonts w:ascii="Times New Roman" w:hAnsi="Times New Roman"/>
                <w:bCs/>
                <w:spacing w:val="-2"/>
              </w:rPr>
              <w:t xml:space="preserve">tego </w:t>
            </w:r>
            <w:r w:rsidR="009A4658">
              <w:rPr>
                <w:rFonts w:ascii="Times New Roman" w:hAnsi="Times New Roman"/>
                <w:bCs/>
                <w:spacing w:val="-2"/>
              </w:rPr>
              <w:t>przepisu</w:t>
            </w:r>
            <w:r w:rsidR="00A57865">
              <w:rPr>
                <w:rFonts w:ascii="Times New Roman" w:hAnsi="Times New Roman"/>
                <w:bCs/>
                <w:spacing w:val="-2"/>
              </w:rPr>
              <w:t xml:space="preserve"> </w:t>
            </w:r>
            <w:r w:rsidR="008F6E69" w:rsidRPr="008F6E69">
              <w:rPr>
                <w:rFonts w:ascii="Times New Roman" w:hAnsi="Times New Roman"/>
                <w:bCs/>
                <w:spacing w:val="-2"/>
              </w:rPr>
              <w:t xml:space="preserve">przez dostosowanie brzmienia </w:t>
            </w:r>
            <w:r w:rsidR="00A57865">
              <w:rPr>
                <w:rFonts w:ascii="Times New Roman" w:hAnsi="Times New Roman"/>
                <w:bCs/>
                <w:spacing w:val="-2"/>
              </w:rPr>
              <w:t xml:space="preserve">jego </w:t>
            </w:r>
            <w:r w:rsidR="008F6E69" w:rsidRPr="008F6E69">
              <w:rPr>
                <w:rFonts w:ascii="Times New Roman" w:hAnsi="Times New Roman"/>
                <w:bCs/>
                <w:spacing w:val="-2"/>
              </w:rPr>
              <w:t>ust. 1 do pozostałych jednostek redakcyjnych odnoszących się do poszczególnych grup podmiotów</w:t>
            </w:r>
            <w:r w:rsidR="008F6E69">
              <w:rPr>
                <w:rFonts w:ascii="Times New Roman" w:hAnsi="Times New Roman"/>
                <w:bCs/>
                <w:spacing w:val="-2"/>
              </w:rPr>
              <w:t>;</w:t>
            </w:r>
          </w:p>
          <w:p w14:paraId="0C834323" w14:textId="47D12851" w:rsidR="008F6E69" w:rsidRDefault="008F6E69" w:rsidP="005E3E4F">
            <w:pPr>
              <w:pStyle w:val="Akapitzlist"/>
              <w:numPr>
                <w:ilvl w:val="0"/>
                <w:numId w:val="37"/>
              </w:numPr>
              <w:jc w:val="both"/>
              <w:rPr>
                <w:rFonts w:ascii="Times New Roman" w:hAnsi="Times New Roman"/>
                <w:bCs/>
                <w:spacing w:val="-2"/>
              </w:rPr>
            </w:pPr>
            <w:r w:rsidRPr="008F6E69">
              <w:rPr>
                <w:rFonts w:ascii="Times New Roman" w:hAnsi="Times New Roman"/>
                <w:bCs/>
                <w:spacing w:val="-2"/>
              </w:rPr>
              <w:t xml:space="preserve">w związku z problemem wskazanym w pkt </w:t>
            </w:r>
            <w:r w:rsidR="00106348">
              <w:rPr>
                <w:rFonts w:ascii="Times New Roman" w:hAnsi="Times New Roman"/>
                <w:bCs/>
                <w:spacing w:val="-2"/>
              </w:rPr>
              <w:t>52</w:t>
            </w:r>
            <w:r w:rsidR="00106348" w:rsidRPr="008F6E69">
              <w:rPr>
                <w:rFonts w:ascii="Times New Roman" w:hAnsi="Times New Roman"/>
                <w:bCs/>
                <w:spacing w:val="-2"/>
              </w:rPr>
              <w:t xml:space="preserve"> </w:t>
            </w:r>
            <w:r w:rsidRPr="008F6E69">
              <w:rPr>
                <w:rFonts w:ascii="Times New Roman" w:hAnsi="Times New Roman"/>
                <w:bCs/>
                <w:spacing w:val="-2"/>
              </w:rPr>
              <w:t>sekcji 1 OSR proponuję się</w:t>
            </w:r>
            <w:r>
              <w:rPr>
                <w:rFonts w:ascii="Times New Roman" w:hAnsi="Times New Roman"/>
                <w:bCs/>
                <w:spacing w:val="-2"/>
              </w:rPr>
              <w:t xml:space="preserve"> </w:t>
            </w:r>
            <w:r w:rsidRPr="00AB7441">
              <w:rPr>
                <w:rFonts w:ascii="Times New Roman" w:hAnsi="Times New Roman"/>
                <w:bCs/>
                <w:spacing w:val="-2"/>
              </w:rPr>
              <w:t xml:space="preserve">rozszerzenie uprawnienia Głównego Inspektora Farmaceutycznego </w:t>
            </w:r>
            <w:r w:rsidR="00767230">
              <w:rPr>
                <w:rFonts w:ascii="Times New Roman" w:hAnsi="Times New Roman"/>
                <w:bCs/>
                <w:spacing w:val="-2"/>
              </w:rPr>
              <w:t xml:space="preserve">wskazanego </w:t>
            </w:r>
            <w:r>
              <w:rPr>
                <w:rFonts w:ascii="Times New Roman" w:hAnsi="Times New Roman"/>
                <w:bCs/>
                <w:spacing w:val="-2"/>
              </w:rPr>
              <w:t xml:space="preserve">w </w:t>
            </w:r>
            <w:r w:rsidRPr="008F6E69">
              <w:rPr>
                <w:rFonts w:ascii="Times New Roman" w:hAnsi="Times New Roman"/>
                <w:bCs/>
                <w:spacing w:val="-2"/>
              </w:rPr>
              <w:t xml:space="preserve">art. 81 ust. 1a ustawy </w:t>
            </w:r>
            <w:r w:rsidR="00E73F4D">
              <w:rPr>
                <w:rFonts w:ascii="Times New Roman" w:hAnsi="Times New Roman"/>
                <w:bCs/>
                <w:spacing w:val="-2"/>
              </w:rPr>
              <w:t xml:space="preserve">z dnia 6 września 2001 r. </w:t>
            </w:r>
            <w:r w:rsidRPr="008F6E69">
              <w:rPr>
                <w:rFonts w:ascii="Times New Roman" w:hAnsi="Times New Roman"/>
                <w:bCs/>
                <w:spacing w:val="-2"/>
              </w:rPr>
              <w:t xml:space="preserve">– Prawo farmaceutyczne </w:t>
            </w:r>
            <w:r w:rsidRPr="00AB7441">
              <w:rPr>
                <w:rFonts w:ascii="Times New Roman" w:hAnsi="Times New Roman"/>
                <w:bCs/>
                <w:spacing w:val="-2"/>
              </w:rPr>
              <w:t>do odstąpienia od zastosowania obligatoryjne</w:t>
            </w:r>
            <w:r w:rsidR="009A4658">
              <w:rPr>
                <w:rFonts w:ascii="Times New Roman" w:hAnsi="Times New Roman"/>
                <w:bCs/>
                <w:spacing w:val="-2"/>
              </w:rPr>
              <w:t xml:space="preserve">go </w:t>
            </w:r>
            <w:r w:rsidRPr="00AB7441">
              <w:rPr>
                <w:rFonts w:ascii="Times New Roman" w:hAnsi="Times New Roman"/>
                <w:bCs/>
                <w:spacing w:val="-2"/>
              </w:rPr>
              <w:t>cofnięcia zezwolenia na prowadzenie hurtowni farmaceutycznej w przypadku naruszenia przepisów związanych z nakazem notyfikacji zamiaru wywozu zagranicę</w:t>
            </w:r>
            <w:r w:rsidR="009A4658">
              <w:rPr>
                <w:rFonts w:ascii="Times New Roman" w:hAnsi="Times New Roman"/>
                <w:bCs/>
                <w:spacing w:val="-2"/>
              </w:rPr>
              <w:t>,</w:t>
            </w:r>
            <w:r w:rsidRPr="00AB7441">
              <w:rPr>
                <w:rFonts w:ascii="Times New Roman" w:hAnsi="Times New Roman"/>
                <w:bCs/>
                <w:spacing w:val="-2"/>
              </w:rPr>
              <w:t xml:space="preserve"> bądź zbycia podmiotowi prowadzącemu działalność zagranicą produktów leczniczych, środków spożywczych specjalnego przeznaczenia żywieniowego lub wyrobów medycznych zamieszczonych w wykazie, o którym mowa w art. 37av ust. 14 ustawy</w:t>
            </w:r>
            <w:r w:rsidR="00E73F4D">
              <w:rPr>
                <w:rFonts w:ascii="Times New Roman" w:hAnsi="Times New Roman"/>
                <w:bCs/>
                <w:spacing w:val="-2"/>
              </w:rPr>
              <w:t xml:space="preserve"> z dnia 6 września 2001 r. </w:t>
            </w:r>
            <w:r w:rsidRPr="00AB7441">
              <w:rPr>
                <w:rFonts w:ascii="Times New Roman" w:hAnsi="Times New Roman"/>
                <w:bCs/>
                <w:spacing w:val="-2"/>
              </w:rPr>
              <w:t>– Prawo farmaceutyczne</w:t>
            </w:r>
            <w:r>
              <w:rPr>
                <w:rFonts w:ascii="Times New Roman" w:hAnsi="Times New Roman"/>
                <w:bCs/>
                <w:spacing w:val="-2"/>
              </w:rPr>
              <w:t>;</w:t>
            </w:r>
          </w:p>
          <w:p w14:paraId="1501BB3A" w14:textId="33235F42" w:rsidR="005956DA" w:rsidRDefault="00146702" w:rsidP="005E3E4F">
            <w:pPr>
              <w:pStyle w:val="Akapitzlist"/>
              <w:numPr>
                <w:ilvl w:val="0"/>
                <w:numId w:val="37"/>
              </w:numPr>
              <w:jc w:val="both"/>
              <w:rPr>
                <w:rFonts w:ascii="Times New Roman" w:hAnsi="Times New Roman"/>
                <w:bCs/>
                <w:spacing w:val="-2"/>
              </w:rPr>
            </w:pPr>
            <w:r w:rsidRPr="00146702">
              <w:rPr>
                <w:rFonts w:ascii="Times New Roman" w:hAnsi="Times New Roman"/>
                <w:bCs/>
                <w:spacing w:val="-2"/>
              </w:rPr>
              <w:t xml:space="preserve">w związku z problemem wskazanym w pkt </w:t>
            </w:r>
            <w:r w:rsidR="00106348" w:rsidRPr="00146702">
              <w:rPr>
                <w:rFonts w:ascii="Times New Roman" w:hAnsi="Times New Roman"/>
                <w:bCs/>
                <w:spacing w:val="-2"/>
              </w:rPr>
              <w:t>5</w:t>
            </w:r>
            <w:r w:rsidR="00106348">
              <w:rPr>
                <w:rFonts w:ascii="Times New Roman" w:hAnsi="Times New Roman"/>
                <w:bCs/>
                <w:spacing w:val="-2"/>
              </w:rPr>
              <w:t>3</w:t>
            </w:r>
            <w:r w:rsidRPr="00146702">
              <w:rPr>
                <w:rFonts w:ascii="Times New Roman" w:hAnsi="Times New Roman"/>
                <w:bCs/>
                <w:spacing w:val="-2"/>
              </w:rPr>
              <w:t>sekcji 1 OSR proponuj</w:t>
            </w:r>
            <w:r w:rsidR="00E73F4D">
              <w:rPr>
                <w:rFonts w:ascii="Times New Roman" w:hAnsi="Times New Roman"/>
                <w:bCs/>
                <w:spacing w:val="-2"/>
              </w:rPr>
              <w:t>e</w:t>
            </w:r>
            <w:r w:rsidRPr="00146702">
              <w:rPr>
                <w:rFonts w:ascii="Times New Roman" w:hAnsi="Times New Roman"/>
                <w:bCs/>
                <w:spacing w:val="-2"/>
              </w:rPr>
              <w:t xml:space="preserve"> się</w:t>
            </w:r>
            <w:r>
              <w:rPr>
                <w:rFonts w:ascii="Times New Roman" w:hAnsi="Times New Roman"/>
                <w:bCs/>
                <w:spacing w:val="-2"/>
              </w:rPr>
              <w:t xml:space="preserve"> uregulowanie </w:t>
            </w:r>
            <w:r w:rsidRPr="00146702">
              <w:rPr>
                <w:rFonts w:ascii="Times New Roman" w:hAnsi="Times New Roman"/>
                <w:bCs/>
                <w:spacing w:val="-2"/>
              </w:rPr>
              <w:t>system</w:t>
            </w:r>
            <w:r>
              <w:rPr>
                <w:rFonts w:ascii="Times New Roman" w:hAnsi="Times New Roman"/>
                <w:bCs/>
                <w:spacing w:val="-2"/>
              </w:rPr>
              <w:t>u</w:t>
            </w:r>
            <w:r w:rsidRPr="00146702">
              <w:rPr>
                <w:rFonts w:ascii="Times New Roman" w:hAnsi="Times New Roman"/>
                <w:bCs/>
                <w:spacing w:val="-2"/>
              </w:rPr>
              <w:t xml:space="preserve"> monitorowania programów lekowych</w:t>
            </w:r>
            <w:r>
              <w:rPr>
                <w:rFonts w:ascii="Times New Roman" w:hAnsi="Times New Roman"/>
                <w:bCs/>
                <w:spacing w:val="-2"/>
              </w:rPr>
              <w:t xml:space="preserve"> w</w:t>
            </w:r>
            <w:r>
              <w:t xml:space="preserve"> </w:t>
            </w:r>
            <w:r>
              <w:rPr>
                <w:rFonts w:ascii="Times New Roman" w:hAnsi="Times New Roman"/>
                <w:bCs/>
                <w:spacing w:val="-2"/>
              </w:rPr>
              <w:t xml:space="preserve">ustawie </w:t>
            </w:r>
            <w:r w:rsidRPr="00146702">
              <w:rPr>
                <w:rFonts w:ascii="Times New Roman" w:hAnsi="Times New Roman"/>
                <w:bCs/>
                <w:spacing w:val="-2"/>
              </w:rPr>
              <w:t>z dnia 27 sierpnia 2004 r. o świadczeniach opieki zdrowotnej finansowanych ze środków publicznych</w:t>
            </w:r>
            <w:r>
              <w:rPr>
                <w:rFonts w:ascii="Times New Roman" w:hAnsi="Times New Roman"/>
                <w:bCs/>
                <w:spacing w:val="-2"/>
              </w:rPr>
              <w:t xml:space="preserve"> oraz ustawie </w:t>
            </w:r>
            <w:r w:rsidRPr="0095120B">
              <w:rPr>
                <w:rFonts w:ascii="Times New Roman" w:hAnsi="Times New Roman"/>
                <w:bCs/>
                <w:spacing w:val="-2"/>
              </w:rPr>
              <w:t>z dnia 28 sierpnia 2011 r. o systemie informacji w ochronie zdrowi</w:t>
            </w:r>
            <w:r>
              <w:rPr>
                <w:rFonts w:ascii="Times New Roman" w:hAnsi="Times New Roman"/>
                <w:bCs/>
                <w:spacing w:val="-2"/>
              </w:rPr>
              <w:t>a</w:t>
            </w:r>
            <w:r w:rsidR="007E2484">
              <w:rPr>
                <w:rFonts w:ascii="Times New Roman" w:hAnsi="Times New Roman"/>
                <w:bCs/>
                <w:spacing w:val="-2"/>
              </w:rPr>
              <w:t>;</w:t>
            </w:r>
          </w:p>
          <w:p w14:paraId="7D3EEA25" w14:textId="305F80C9" w:rsidR="008C2D0C" w:rsidRDefault="008C2D0C" w:rsidP="005E3E4F">
            <w:pPr>
              <w:pStyle w:val="Akapitzlist"/>
              <w:numPr>
                <w:ilvl w:val="0"/>
                <w:numId w:val="37"/>
              </w:numPr>
              <w:jc w:val="both"/>
              <w:rPr>
                <w:rFonts w:ascii="Times New Roman" w:hAnsi="Times New Roman"/>
                <w:bCs/>
                <w:spacing w:val="-2"/>
              </w:rPr>
            </w:pPr>
            <w:r>
              <w:rPr>
                <w:rFonts w:ascii="Times New Roman" w:hAnsi="Times New Roman"/>
                <w:bCs/>
                <w:spacing w:val="-2"/>
              </w:rPr>
              <w:t xml:space="preserve">w związku z problemem wskazanym w pkt 54 sekcji 1 OSR proponuje się </w:t>
            </w:r>
            <w:r w:rsidRPr="008C2D0C">
              <w:rPr>
                <w:rFonts w:ascii="Times New Roman" w:hAnsi="Times New Roman"/>
                <w:bCs/>
                <w:spacing w:val="-2"/>
              </w:rPr>
              <w:t>zniesienie wymogu przedkładania kompletu analiz i opłaty za przygotowanie analizy weryfikacyjnej, w przypadku wniosków dotyczących leków złożonych refundowanych w aptece, pod warunkiem finansowania w tożsamym zakresie wskazań ich jednoskładnikowych odpowiedników. Zniesienie wskazanego powyżej obowiązku w znacznym stopniu uprości procedurę refundacyjną tej grupy leków, przyczyniając się do większego ich udziału w refundacji systemowej, co z perspektywy płatnika wiązać się może z generowaniem dodatkowych oszczędności przez wzgląd na zauważalne niższe koszty leków złożonych w stosunku do ich ekwiwalentów jednoskładnikowych.</w:t>
            </w:r>
            <w:r>
              <w:t xml:space="preserve"> </w:t>
            </w:r>
            <w:r>
              <w:rPr>
                <w:rFonts w:ascii="Times New Roman" w:hAnsi="Times New Roman"/>
                <w:bCs/>
                <w:spacing w:val="-2"/>
              </w:rPr>
              <w:t>Z</w:t>
            </w:r>
            <w:r w:rsidRPr="008C2D0C">
              <w:rPr>
                <w:rFonts w:ascii="Times New Roman" w:hAnsi="Times New Roman"/>
                <w:bCs/>
                <w:spacing w:val="-2"/>
              </w:rPr>
              <w:t>większ</w:t>
            </w:r>
            <w:r>
              <w:rPr>
                <w:rFonts w:ascii="Times New Roman" w:hAnsi="Times New Roman"/>
                <w:bCs/>
                <w:spacing w:val="-2"/>
              </w:rPr>
              <w:t>y to</w:t>
            </w:r>
            <w:r w:rsidRPr="008C2D0C">
              <w:rPr>
                <w:rFonts w:ascii="Times New Roman" w:hAnsi="Times New Roman"/>
                <w:bCs/>
                <w:spacing w:val="-2"/>
              </w:rPr>
              <w:t xml:space="preserve"> dostępnoś</w:t>
            </w:r>
            <w:r>
              <w:rPr>
                <w:rFonts w:ascii="Times New Roman" w:hAnsi="Times New Roman"/>
                <w:bCs/>
                <w:spacing w:val="-2"/>
              </w:rPr>
              <w:t>ć</w:t>
            </w:r>
            <w:r w:rsidRPr="008C2D0C">
              <w:rPr>
                <w:rFonts w:ascii="Times New Roman" w:hAnsi="Times New Roman"/>
                <w:bCs/>
                <w:spacing w:val="-2"/>
              </w:rPr>
              <w:t xml:space="preserve"> polskich pacjentów do finansowanych terapii złożonych stosowanych szeroko w chorobach populacyjnych</w:t>
            </w:r>
            <w:r w:rsidR="007E2484">
              <w:rPr>
                <w:rFonts w:ascii="Times New Roman" w:hAnsi="Times New Roman"/>
                <w:bCs/>
                <w:spacing w:val="-2"/>
              </w:rPr>
              <w:t>;</w:t>
            </w:r>
          </w:p>
          <w:p w14:paraId="15ED8C7C" w14:textId="0AA896D3" w:rsidR="00F40158" w:rsidRDefault="0028015D" w:rsidP="005E3E4F">
            <w:pPr>
              <w:pStyle w:val="Akapitzlist"/>
              <w:numPr>
                <w:ilvl w:val="0"/>
                <w:numId w:val="37"/>
              </w:numPr>
              <w:jc w:val="both"/>
              <w:rPr>
                <w:rFonts w:ascii="Times New Roman" w:hAnsi="Times New Roman"/>
                <w:bCs/>
                <w:spacing w:val="-2"/>
              </w:rPr>
            </w:pPr>
            <w:r w:rsidRPr="0028015D">
              <w:rPr>
                <w:rFonts w:ascii="Times New Roman" w:hAnsi="Times New Roman"/>
                <w:bCs/>
                <w:spacing w:val="-2"/>
              </w:rPr>
              <w:t>w związku z problemem wskazanym w pkt 5</w:t>
            </w:r>
            <w:r w:rsidR="006B3555">
              <w:rPr>
                <w:rFonts w:ascii="Times New Roman" w:hAnsi="Times New Roman"/>
                <w:bCs/>
                <w:spacing w:val="-2"/>
              </w:rPr>
              <w:t>5</w:t>
            </w:r>
            <w:r w:rsidRPr="0028015D">
              <w:rPr>
                <w:rFonts w:ascii="Times New Roman" w:hAnsi="Times New Roman"/>
                <w:bCs/>
                <w:spacing w:val="-2"/>
              </w:rPr>
              <w:t xml:space="preserve"> sekcji 1 OSR proponuje się</w:t>
            </w:r>
            <w:r>
              <w:rPr>
                <w:rFonts w:ascii="Times New Roman" w:hAnsi="Times New Roman"/>
                <w:bCs/>
                <w:spacing w:val="-2"/>
              </w:rPr>
              <w:t xml:space="preserve"> w pierwszej kolejności wprowadzić zmiany w ustawie </w:t>
            </w:r>
            <w:r w:rsidR="005653C4" w:rsidRPr="0028015D">
              <w:rPr>
                <w:rFonts w:ascii="Times New Roman" w:hAnsi="Times New Roman"/>
                <w:bCs/>
                <w:spacing w:val="-2"/>
              </w:rPr>
              <w:t>z dnia 7 października 2020 r.</w:t>
            </w:r>
            <w:r w:rsidR="005653C4">
              <w:rPr>
                <w:rFonts w:ascii="Times New Roman" w:hAnsi="Times New Roman"/>
                <w:bCs/>
                <w:spacing w:val="-2"/>
              </w:rPr>
              <w:t xml:space="preserve"> </w:t>
            </w:r>
            <w:r>
              <w:rPr>
                <w:rFonts w:ascii="Times New Roman" w:hAnsi="Times New Roman"/>
                <w:bCs/>
                <w:spacing w:val="-2"/>
              </w:rPr>
              <w:t>o Funduszu Medycznym</w:t>
            </w:r>
            <w:r w:rsidR="005653C4">
              <w:rPr>
                <w:rFonts w:ascii="Times New Roman" w:hAnsi="Times New Roman"/>
                <w:bCs/>
                <w:spacing w:val="-2"/>
              </w:rPr>
              <w:t xml:space="preserve"> (Dz. U. z 2024 r. poz. 889)</w:t>
            </w:r>
            <w:r>
              <w:rPr>
                <w:rFonts w:ascii="Times New Roman" w:hAnsi="Times New Roman"/>
                <w:bCs/>
                <w:spacing w:val="-2"/>
              </w:rPr>
              <w:t xml:space="preserve"> umożliwiające pokrywanie strat wynikających z podawania leku na kilogram masy lub powierzchnię ciała świadczeniobiorcy z subfunduszu </w:t>
            </w:r>
            <w:r w:rsidRPr="0028015D">
              <w:rPr>
                <w:rFonts w:ascii="Times New Roman" w:hAnsi="Times New Roman"/>
                <w:bCs/>
                <w:spacing w:val="-2"/>
              </w:rPr>
              <w:t>terapeutyczno-innowacyjn</w:t>
            </w:r>
            <w:r>
              <w:rPr>
                <w:rFonts w:ascii="Times New Roman" w:hAnsi="Times New Roman"/>
                <w:bCs/>
                <w:spacing w:val="-2"/>
              </w:rPr>
              <w:t>ego dla decyzji administracyjnych o objęciu refundacją wydanych przed wejściem w życie niniejszego projektu, a w przypadku decyzji administracyjnych o objęciu refundacją wydanych po wejściu w życie niniejszego projektu Wnioskodawca byłby zobowiązany do finansowania takich strat przez z</w:t>
            </w:r>
            <w:r w:rsidR="00695DCD">
              <w:rPr>
                <w:rFonts w:ascii="Times New Roman" w:hAnsi="Times New Roman"/>
                <w:bCs/>
                <w:spacing w:val="-2"/>
              </w:rPr>
              <w:t>a</w:t>
            </w:r>
            <w:r>
              <w:rPr>
                <w:rFonts w:ascii="Times New Roman" w:hAnsi="Times New Roman"/>
                <w:bCs/>
                <w:spacing w:val="-2"/>
              </w:rPr>
              <w:t>warcie odpowiednich postanowień w ramach instrumentu dzielenia ryzyka</w:t>
            </w:r>
            <w:r w:rsidR="007E2484">
              <w:rPr>
                <w:rFonts w:ascii="Times New Roman" w:hAnsi="Times New Roman"/>
                <w:bCs/>
                <w:spacing w:val="-2"/>
              </w:rPr>
              <w:t>;</w:t>
            </w:r>
          </w:p>
          <w:p w14:paraId="1BF90468" w14:textId="13A9B83F" w:rsidR="007E2484" w:rsidRDefault="0039683D" w:rsidP="005E3E4F">
            <w:pPr>
              <w:pStyle w:val="Akapitzlist"/>
              <w:numPr>
                <w:ilvl w:val="0"/>
                <w:numId w:val="37"/>
              </w:numPr>
              <w:jc w:val="both"/>
              <w:rPr>
                <w:rFonts w:ascii="Times New Roman" w:hAnsi="Times New Roman"/>
                <w:bCs/>
                <w:spacing w:val="-2"/>
              </w:rPr>
            </w:pPr>
            <w:r w:rsidRPr="0039683D">
              <w:rPr>
                <w:rFonts w:ascii="Times New Roman" w:hAnsi="Times New Roman"/>
                <w:bCs/>
                <w:spacing w:val="-2"/>
              </w:rPr>
              <w:t>w związku z problemem wskazanym w pkt 57 sekcji 1 OSR proponuje się w przypadku niektórych refundowanych terapii aptecznych możliwość wskazanie lekarza specjalisty uprawnionego do określonej preskrypcji produktów refundowanych z uwagi na posiadaną przez niego konkretną specjalizację właściwą ze względu na wskazanie danego leku.  Rozwiązania umożliwią elastyczne podejście Ministra Zdrowia do kwalifikowania terapii do danej kategorii refundacyjnej jak również zdjęcie barier dostępności leków dla pacjenta oraz zmniejszenie kosztów prowadzenia leczenia dla płatnika publicznego. Proponowana zmiana pozwoli lekarzowi na lepszą opiekę nad pacjentem</w:t>
            </w:r>
            <w:r w:rsidR="00E1515A">
              <w:rPr>
                <w:rFonts w:ascii="Times New Roman" w:hAnsi="Times New Roman"/>
                <w:bCs/>
                <w:spacing w:val="-2"/>
              </w:rPr>
              <w:t>;</w:t>
            </w:r>
          </w:p>
          <w:p w14:paraId="4F8DA3C6" w14:textId="35EB589E" w:rsidR="00404141" w:rsidRPr="006D7335" w:rsidRDefault="007E2484" w:rsidP="005E3E4F">
            <w:pPr>
              <w:pStyle w:val="Akapitzlist"/>
              <w:numPr>
                <w:ilvl w:val="0"/>
                <w:numId w:val="37"/>
              </w:numPr>
              <w:jc w:val="both"/>
              <w:rPr>
                <w:rFonts w:ascii="Times New Roman" w:hAnsi="Times New Roman"/>
                <w:bCs/>
                <w:spacing w:val="-2"/>
              </w:rPr>
            </w:pPr>
            <w:r w:rsidRPr="006D7335">
              <w:rPr>
                <w:rFonts w:ascii="Times New Roman" w:hAnsi="Times New Roman"/>
                <w:bCs/>
                <w:spacing w:val="-2"/>
              </w:rPr>
              <w:t>w związku z problemem wskazanym w pkt 5</w:t>
            </w:r>
            <w:r w:rsidR="006B3555" w:rsidRPr="006D7335">
              <w:rPr>
                <w:rFonts w:ascii="Times New Roman" w:hAnsi="Times New Roman"/>
                <w:bCs/>
                <w:spacing w:val="-2"/>
              </w:rPr>
              <w:t xml:space="preserve">8 </w:t>
            </w:r>
            <w:r w:rsidRPr="006D7335">
              <w:rPr>
                <w:rFonts w:ascii="Times New Roman" w:hAnsi="Times New Roman"/>
                <w:bCs/>
                <w:spacing w:val="-2"/>
              </w:rPr>
              <w:t>sekcji 1 OSR proponuje się</w:t>
            </w:r>
            <w:r w:rsidR="006B3555" w:rsidRPr="006D7335">
              <w:rPr>
                <w:rFonts w:ascii="Times New Roman" w:hAnsi="Times New Roman"/>
                <w:bCs/>
                <w:spacing w:val="-2"/>
              </w:rPr>
              <w:t>, aby wnioskodawca składając w</w:t>
            </w:r>
            <w:r w:rsidR="005E3E4F">
              <w:rPr>
                <w:rFonts w:ascii="Times New Roman" w:hAnsi="Times New Roman"/>
                <w:bCs/>
                <w:spacing w:val="-2"/>
              </w:rPr>
              <w:t>n</w:t>
            </w:r>
            <w:r w:rsidR="006B3555" w:rsidRPr="006D7335">
              <w:rPr>
                <w:rFonts w:ascii="Times New Roman" w:hAnsi="Times New Roman"/>
                <w:bCs/>
                <w:spacing w:val="-2"/>
              </w:rPr>
              <w:t>iosek o objęcie re</w:t>
            </w:r>
            <w:r w:rsidR="00404141" w:rsidRPr="006D7335">
              <w:rPr>
                <w:rFonts w:ascii="Times New Roman" w:hAnsi="Times New Roman"/>
                <w:bCs/>
                <w:spacing w:val="-2"/>
              </w:rPr>
              <w:t>fundacją i ustalenie ceny zbytu netto podawa</w:t>
            </w:r>
            <w:r w:rsidR="00404141">
              <w:rPr>
                <w:rFonts w:ascii="Times New Roman" w:hAnsi="Times New Roman"/>
                <w:bCs/>
                <w:spacing w:val="-2"/>
              </w:rPr>
              <w:t>ł</w:t>
            </w:r>
            <w:r w:rsidR="00404141" w:rsidRPr="006D7335">
              <w:rPr>
                <w:rFonts w:ascii="Times New Roman" w:hAnsi="Times New Roman"/>
                <w:bCs/>
                <w:spacing w:val="-2"/>
              </w:rPr>
              <w:t xml:space="preserve"> nie tylko wskazanie refundacyjne, ale również kody </w:t>
            </w:r>
            <w:r w:rsidR="00404141" w:rsidRPr="00434097">
              <w:rPr>
                <w:rFonts w:ascii="Times New Roman" w:eastAsia="Times New Roman" w:hAnsi="Times New Roman"/>
                <w:bCs/>
                <w:color w:val="000000"/>
                <w:lang w:eastAsia="pl-PL"/>
              </w:rPr>
              <w:t>Międzynarodowej Statystycznej Klasyfikacji Chorób i Problemów Zdrowotnych sporządzonej przez Światową Organizację Zdrowia (WHO)</w:t>
            </w:r>
            <w:r w:rsidR="00BE465F" w:rsidRPr="00434097">
              <w:rPr>
                <w:rFonts w:ascii="Times New Roman" w:eastAsia="Times New Roman" w:hAnsi="Times New Roman"/>
                <w:bCs/>
                <w:color w:val="000000"/>
                <w:lang w:eastAsia="pl-PL"/>
              </w:rPr>
              <w:t>;</w:t>
            </w:r>
          </w:p>
          <w:p w14:paraId="6E99FC3F" w14:textId="62C4FE5E" w:rsidR="00C73419" w:rsidRPr="006C5882" w:rsidRDefault="00BE465F" w:rsidP="005E3E4F">
            <w:pPr>
              <w:pStyle w:val="Akapitzlist"/>
              <w:numPr>
                <w:ilvl w:val="0"/>
                <w:numId w:val="37"/>
              </w:numPr>
              <w:jc w:val="both"/>
              <w:rPr>
                <w:rFonts w:ascii="Times New Roman" w:hAnsi="Times New Roman"/>
                <w:bCs/>
                <w:spacing w:val="-2"/>
              </w:rPr>
            </w:pPr>
            <w:r>
              <w:rPr>
                <w:rFonts w:ascii="Times New Roman" w:hAnsi="Times New Roman"/>
                <w:bCs/>
                <w:spacing w:val="-2"/>
              </w:rPr>
              <w:t xml:space="preserve">w związku z problemem wskazanym w pkt 59 sekcji 1 OSR proponuje się, </w:t>
            </w:r>
            <w:r w:rsidRPr="00BE465F">
              <w:rPr>
                <w:rFonts w:ascii="Times New Roman" w:hAnsi="Times New Roman"/>
                <w:bCs/>
                <w:spacing w:val="-2"/>
              </w:rPr>
              <w:t>wprowadzen</w:t>
            </w:r>
            <w:r>
              <w:rPr>
                <w:rFonts w:ascii="Times New Roman" w:hAnsi="Times New Roman"/>
                <w:bCs/>
                <w:spacing w:val="-2"/>
              </w:rPr>
              <w:t>ie</w:t>
            </w:r>
            <w:r w:rsidRPr="00BE465F">
              <w:rPr>
                <w:rFonts w:ascii="Times New Roman" w:hAnsi="Times New Roman"/>
                <w:bCs/>
                <w:spacing w:val="-2"/>
              </w:rPr>
              <w:t xml:space="preserve"> zmian umożliwiając</w:t>
            </w:r>
            <w:r>
              <w:rPr>
                <w:rFonts w:ascii="Times New Roman" w:hAnsi="Times New Roman"/>
                <w:bCs/>
                <w:spacing w:val="-2"/>
              </w:rPr>
              <w:t xml:space="preserve">ych </w:t>
            </w:r>
            <w:r w:rsidRPr="006C5882">
              <w:rPr>
                <w:rFonts w:ascii="Times New Roman" w:hAnsi="Times New Roman"/>
                <w:bCs/>
                <w:spacing w:val="-2"/>
              </w:rPr>
              <w:t xml:space="preserve">Prezesowi </w:t>
            </w:r>
            <w:r w:rsidR="00FB2E7D">
              <w:rPr>
                <w:rFonts w:ascii="Times New Roman" w:hAnsi="Times New Roman"/>
                <w:bCs/>
                <w:spacing w:val="-2"/>
              </w:rPr>
              <w:t>NFZ</w:t>
            </w:r>
            <w:r w:rsidRPr="006C5882">
              <w:rPr>
                <w:rFonts w:ascii="Times New Roman" w:hAnsi="Times New Roman"/>
                <w:bCs/>
                <w:spacing w:val="-2"/>
              </w:rPr>
              <w:t xml:space="preserve"> elastyczne podejście do organizacji egzaminu kontrolerskiego, zgodne z potrzebami kadrowymi komórki organizacyjnej realizującej zadania kontrolne</w:t>
            </w:r>
            <w:r w:rsidR="00C73419" w:rsidRPr="006C5882">
              <w:rPr>
                <w:rFonts w:ascii="Times New Roman" w:hAnsi="Times New Roman"/>
                <w:bCs/>
                <w:spacing w:val="-2"/>
              </w:rPr>
              <w:t>,</w:t>
            </w:r>
          </w:p>
          <w:p w14:paraId="5502A5CB" w14:textId="3ABE9F5E" w:rsidR="00BE465F" w:rsidRPr="006C5882" w:rsidRDefault="00C73419" w:rsidP="005E3E4F">
            <w:pPr>
              <w:pStyle w:val="Akapitzlist"/>
              <w:numPr>
                <w:ilvl w:val="0"/>
                <w:numId w:val="37"/>
              </w:numPr>
              <w:jc w:val="both"/>
              <w:rPr>
                <w:rFonts w:ascii="Times New Roman" w:hAnsi="Times New Roman"/>
                <w:bCs/>
                <w:spacing w:val="-2"/>
              </w:rPr>
            </w:pPr>
            <w:r w:rsidRPr="006C5882">
              <w:rPr>
                <w:rFonts w:ascii="Times New Roman" w:hAnsi="Times New Roman"/>
                <w:bCs/>
                <w:spacing w:val="-2"/>
              </w:rPr>
              <w:t>w związku z problemem wskazanym w pkt 60 sekcji 1 OSR proponuje się, aby o</w:t>
            </w:r>
            <w:r w:rsidRPr="006C5882">
              <w:rPr>
                <w:rFonts w:ascii="Times New Roman" w:hAnsi="Times New Roman"/>
              </w:rPr>
              <w:t>pinie</w:t>
            </w:r>
            <w:r w:rsidRPr="006C5882">
              <w:rPr>
                <w:rFonts w:ascii="Times New Roman" w:hAnsi="Times New Roman"/>
                <w:bCs/>
                <w:spacing w:val="-2"/>
              </w:rPr>
              <w:t xml:space="preserve"> Rady Przejrzystości oraz konsultanta krajowego w odpowiedniej dziedzinie medycyny, o których mowa w art. 40 ust. 1 ustawy refundacyjnej były bezterminowe.</w:t>
            </w:r>
          </w:p>
          <w:p w14:paraId="74B13274" w14:textId="10CEDF66" w:rsidR="005956DA" w:rsidRPr="006D7335" w:rsidRDefault="005956DA" w:rsidP="006D7335">
            <w:pPr>
              <w:pStyle w:val="Akapitzlist"/>
              <w:rPr>
                <w:rFonts w:ascii="Times New Roman" w:hAnsi="Times New Roman"/>
                <w:bCs/>
                <w:spacing w:val="-2"/>
              </w:rPr>
            </w:pPr>
          </w:p>
          <w:p w14:paraId="282D510D" w14:textId="5E0DAF49" w:rsidR="00371783" w:rsidRPr="00310DE7" w:rsidRDefault="004B5034" w:rsidP="00310DE7">
            <w:pPr>
              <w:jc w:val="both"/>
              <w:rPr>
                <w:rFonts w:ascii="Times New Roman" w:hAnsi="Times New Roman"/>
              </w:rPr>
            </w:pPr>
            <w:r w:rsidRPr="00310DE7">
              <w:rPr>
                <w:rFonts w:ascii="Times New Roman" w:hAnsi="Times New Roman"/>
                <w:bCs/>
                <w:spacing w:val="-2"/>
              </w:rPr>
              <w:t>Projekt</w:t>
            </w:r>
            <w:r w:rsidR="00310DE7">
              <w:rPr>
                <w:rFonts w:ascii="Times New Roman" w:hAnsi="Times New Roman"/>
                <w:bCs/>
                <w:spacing w:val="-2"/>
              </w:rPr>
              <w:t xml:space="preserve">owana ustawa, </w:t>
            </w:r>
            <w:r w:rsidR="00D94C75" w:rsidRPr="00310DE7">
              <w:rPr>
                <w:rFonts w:ascii="Times New Roman" w:hAnsi="Times New Roman"/>
                <w:bCs/>
                <w:spacing w:val="-2"/>
              </w:rPr>
              <w:t xml:space="preserve">oprócz zmiany </w:t>
            </w:r>
            <w:r w:rsidR="00E73F4D">
              <w:rPr>
                <w:rFonts w:ascii="Times New Roman" w:hAnsi="Times New Roman"/>
                <w:bCs/>
                <w:spacing w:val="-2"/>
              </w:rPr>
              <w:t>ustawy refundacyjnej</w:t>
            </w:r>
            <w:r w:rsidR="00310DE7">
              <w:rPr>
                <w:rFonts w:ascii="Times New Roman" w:hAnsi="Times New Roman"/>
                <w:bCs/>
                <w:spacing w:val="-2"/>
              </w:rPr>
              <w:t>,</w:t>
            </w:r>
            <w:r w:rsidR="00D94C75" w:rsidRPr="00310DE7">
              <w:rPr>
                <w:rFonts w:ascii="Times New Roman" w:hAnsi="Times New Roman"/>
                <w:bCs/>
                <w:spacing w:val="-2"/>
              </w:rPr>
              <w:t xml:space="preserve"> </w:t>
            </w:r>
            <w:r w:rsidRPr="00310DE7">
              <w:rPr>
                <w:rFonts w:ascii="Times New Roman" w:hAnsi="Times New Roman"/>
                <w:bCs/>
                <w:spacing w:val="-2"/>
              </w:rPr>
              <w:t>zakłada dokonanie zmian w następujących ustawach:</w:t>
            </w:r>
          </w:p>
          <w:p w14:paraId="6D8B29AD" w14:textId="02F7644B" w:rsidR="00371783" w:rsidRDefault="00371783" w:rsidP="004663A3">
            <w:pPr>
              <w:numPr>
                <w:ilvl w:val="0"/>
                <w:numId w:val="43"/>
              </w:numPr>
              <w:spacing w:line="240" w:lineRule="auto"/>
              <w:jc w:val="both"/>
              <w:rPr>
                <w:rFonts w:ascii="Times New Roman" w:hAnsi="Times New Roman"/>
                <w:bCs/>
                <w:spacing w:val="-2"/>
              </w:rPr>
            </w:pPr>
            <w:r w:rsidRPr="0095120B">
              <w:rPr>
                <w:rFonts w:ascii="Times New Roman" w:hAnsi="Times New Roman"/>
                <w:bCs/>
                <w:spacing w:val="-2"/>
              </w:rPr>
              <w:t>z dnia 6 września 2001 r. – Prawo farmaceutyczne;</w:t>
            </w:r>
          </w:p>
          <w:p w14:paraId="23DC1200" w14:textId="6F0A2A56" w:rsidR="007E1B80" w:rsidRPr="0095120B" w:rsidRDefault="007E1B80" w:rsidP="004663A3">
            <w:pPr>
              <w:numPr>
                <w:ilvl w:val="0"/>
                <w:numId w:val="43"/>
              </w:numPr>
              <w:spacing w:line="240" w:lineRule="auto"/>
              <w:jc w:val="both"/>
              <w:rPr>
                <w:rFonts w:ascii="Times New Roman" w:hAnsi="Times New Roman"/>
                <w:bCs/>
                <w:spacing w:val="-2"/>
              </w:rPr>
            </w:pPr>
            <w:r w:rsidRPr="007E1B80">
              <w:rPr>
                <w:rFonts w:ascii="Times New Roman" w:hAnsi="Times New Roman"/>
                <w:bCs/>
                <w:spacing w:val="-2"/>
              </w:rPr>
              <w:t>z dnia 27 sierpnia 2004 r. o świadczeniach opieki zdrowotnej finansowanych ze środków publicznych</w:t>
            </w:r>
            <w:r w:rsidR="00B56FAF">
              <w:rPr>
                <w:rFonts w:ascii="Times New Roman" w:hAnsi="Times New Roman"/>
                <w:bCs/>
                <w:spacing w:val="-2"/>
              </w:rPr>
              <w:t>;</w:t>
            </w:r>
          </w:p>
          <w:p w14:paraId="0ECAB668" w14:textId="7F8C9A01" w:rsidR="00371783" w:rsidRPr="0095120B" w:rsidRDefault="00371783" w:rsidP="004663A3">
            <w:pPr>
              <w:numPr>
                <w:ilvl w:val="0"/>
                <w:numId w:val="43"/>
              </w:numPr>
              <w:spacing w:line="240" w:lineRule="auto"/>
              <w:jc w:val="both"/>
              <w:rPr>
                <w:rFonts w:ascii="Times New Roman" w:hAnsi="Times New Roman"/>
                <w:bCs/>
                <w:spacing w:val="-2"/>
              </w:rPr>
            </w:pPr>
            <w:r w:rsidRPr="0095120B">
              <w:rPr>
                <w:rFonts w:ascii="Times New Roman" w:hAnsi="Times New Roman"/>
                <w:bCs/>
                <w:spacing w:val="-2"/>
              </w:rPr>
              <w:t>z dnia 25 sierpnia 2006 r. o bezpieczeństwie żywności i żywienia;</w:t>
            </w:r>
          </w:p>
          <w:p w14:paraId="4DF5A35D" w14:textId="5583F62C" w:rsidR="0028015D" w:rsidRPr="006D7335" w:rsidRDefault="00371783" w:rsidP="00977064">
            <w:pPr>
              <w:numPr>
                <w:ilvl w:val="0"/>
                <w:numId w:val="43"/>
              </w:numPr>
              <w:spacing w:line="240" w:lineRule="auto"/>
              <w:jc w:val="both"/>
              <w:rPr>
                <w:rFonts w:ascii="Times New Roman" w:hAnsi="Times New Roman"/>
              </w:rPr>
            </w:pPr>
            <w:r w:rsidRPr="0095120B">
              <w:rPr>
                <w:rFonts w:ascii="Times New Roman" w:hAnsi="Times New Roman"/>
                <w:bCs/>
                <w:spacing w:val="-2"/>
              </w:rPr>
              <w:t>z dnia 28 sierpnia 2011 r. o systemie informacji w ochronie zdrowia</w:t>
            </w:r>
            <w:r w:rsidR="0028015D">
              <w:rPr>
                <w:rFonts w:ascii="Times New Roman" w:hAnsi="Times New Roman"/>
                <w:bCs/>
                <w:spacing w:val="-2"/>
              </w:rPr>
              <w:t>;</w:t>
            </w:r>
          </w:p>
          <w:p w14:paraId="6E619E18" w14:textId="51B2E035" w:rsidR="00EC331F" w:rsidRPr="0095120B" w:rsidRDefault="0028015D" w:rsidP="00977064">
            <w:pPr>
              <w:numPr>
                <w:ilvl w:val="0"/>
                <w:numId w:val="43"/>
              </w:numPr>
              <w:spacing w:line="240" w:lineRule="auto"/>
              <w:jc w:val="both"/>
              <w:rPr>
                <w:rFonts w:ascii="Times New Roman" w:hAnsi="Times New Roman"/>
              </w:rPr>
            </w:pPr>
            <w:r w:rsidRPr="0028015D">
              <w:rPr>
                <w:rFonts w:ascii="Times New Roman" w:hAnsi="Times New Roman"/>
                <w:bCs/>
                <w:spacing w:val="-2"/>
              </w:rPr>
              <w:t>z dnia 7 października 2020 r.</w:t>
            </w:r>
            <w:r>
              <w:rPr>
                <w:rFonts w:ascii="Times New Roman" w:hAnsi="Times New Roman"/>
                <w:bCs/>
                <w:spacing w:val="-2"/>
              </w:rPr>
              <w:t xml:space="preserve"> o Funduszu </w:t>
            </w:r>
            <w:r w:rsidRPr="0028015D">
              <w:rPr>
                <w:rFonts w:ascii="Times New Roman" w:hAnsi="Times New Roman"/>
                <w:bCs/>
                <w:spacing w:val="-2"/>
              </w:rPr>
              <w:t>Medycznym</w:t>
            </w:r>
            <w:r w:rsidR="00C90D42">
              <w:rPr>
                <w:rFonts w:ascii="Times New Roman" w:hAnsi="Times New Roman"/>
                <w:bCs/>
                <w:spacing w:val="-2"/>
              </w:rPr>
              <w:t>.</w:t>
            </w:r>
          </w:p>
        </w:tc>
      </w:tr>
      <w:tr w:rsidR="0095120B" w:rsidRPr="0095120B" w14:paraId="55EC1784" w14:textId="77777777" w:rsidTr="004663A3">
        <w:trPr>
          <w:trHeight w:val="307"/>
        </w:trPr>
        <w:tc>
          <w:tcPr>
            <w:tcW w:w="10803" w:type="dxa"/>
            <w:gridSpan w:val="27"/>
            <w:shd w:val="clear" w:color="auto" w:fill="99CCFF"/>
            <w:vAlign w:val="center"/>
          </w:tcPr>
          <w:p w14:paraId="0343AA62" w14:textId="77777777" w:rsidR="00D213AA" w:rsidRPr="0095120B" w:rsidRDefault="00D213AA" w:rsidP="00D213AA">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spacing w:val="-2"/>
              </w:rPr>
              <w:t>Jak problem został rozwiązany w innych krajach, w szczególności krajach członkowskich OECD/UE</w:t>
            </w:r>
            <w:r w:rsidRPr="0095120B">
              <w:rPr>
                <w:rFonts w:ascii="Times New Roman" w:hAnsi="Times New Roman"/>
                <w:b/>
              </w:rPr>
              <w:t>?</w:t>
            </w:r>
            <w:r w:rsidRPr="0095120B">
              <w:rPr>
                <w:rFonts w:ascii="Times New Roman" w:hAnsi="Times New Roman"/>
                <w:i/>
              </w:rPr>
              <w:t xml:space="preserve"> </w:t>
            </w:r>
          </w:p>
        </w:tc>
      </w:tr>
      <w:tr w:rsidR="0095120B" w:rsidRPr="0095120B" w14:paraId="66FEEC03" w14:textId="77777777" w:rsidTr="004663A3">
        <w:trPr>
          <w:trHeight w:val="142"/>
        </w:trPr>
        <w:tc>
          <w:tcPr>
            <w:tcW w:w="10803" w:type="dxa"/>
            <w:gridSpan w:val="27"/>
            <w:shd w:val="clear" w:color="auto" w:fill="auto"/>
          </w:tcPr>
          <w:p w14:paraId="1DE0C74D" w14:textId="66C241A2" w:rsidR="007A5557" w:rsidRPr="0095120B" w:rsidRDefault="007A5557" w:rsidP="004663A3">
            <w:pPr>
              <w:spacing w:line="240" w:lineRule="auto"/>
              <w:jc w:val="both"/>
              <w:rPr>
                <w:rFonts w:ascii="Times New Roman" w:hAnsi="Times New Roman"/>
                <w:spacing w:val="-2"/>
              </w:rPr>
            </w:pPr>
            <w:r w:rsidRPr="0095120B">
              <w:rPr>
                <w:rFonts w:ascii="Times New Roman" w:hAnsi="Times New Roman"/>
                <w:spacing w:val="-2"/>
              </w:rPr>
              <w:t>System refundacji leków</w:t>
            </w:r>
            <w:r w:rsidR="00B57071" w:rsidRPr="0095120B">
              <w:rPr>
                <w:rFonts w:ascii="Times New Roman" w:hAnsi="Times New Roman"/>
                <w:spacing w:val="-2"/>
              </w:rPr>
              <w:t>, środków spożywczych specjalnego przeznaczenia żywieniowego i wyrobów medycznych</w:t>
            </w:r>
            <w:r w:rsidRPr="0095120B">
              <w:rPr>
                <w:rFonts w:ascii="Times New Roman" w:hAnsi="Times New Roman"/>
                <w:spacing w:val="-2"/>
              </w:rPr>
              <w:t xml:space="preserve"> nie jest zunifikowany w ramach Unii Europejskiej. W zasadzie każdy z krajów Unii Europejskiej posiada własny indywidualny system refundacji, w których oczywiście można znaleźć elementy wspólne. Jednym z nich są wynikające z przepisów prawa Unii Europejskiej terminy na rozpatrywanie poszczególnych wniosków refundacyjnych (np. wniosek </w:t>
            </w:r>
            <w:r w:rsidR="0095120B" w:rsidRPr="0095120B">
              <w:rPr>
                <w:rFonts w:ascii="Times New Roman" w:hAnsi="Times New Roman"/>
                <w:spacing w:val="-2"/>
              </w:rPr>
              <w:t>taki</w:t>
            </w:r>
            <w:r w:rsidRPr="0095120B">
              <w:rPr>
                <w:rFonts w:ascii="Times New Roman" w:hAnsi="Times New Roman"/>
                <w:spacing w:val="-2"/>
              </w:rPr>
              <w:t xml:space="preserve"> nie może być rozpatrywany dłużej niż 180 dni, wniosek o podwyższenie urzędowej ceny zbytu nie dłużej niż 90 dni). Poza tym systemy refundacyjne są budowane indywidualnie w każdym z krajów Unii Europejskiej, choć oczywiście zdarzają się sytuacje, że dany mechanizm opracowany przez jeden kraj jest wykorzystywany również w pozostałych, np. obligatoryjne obniżenie ceny po ustaniu okresu wyłączności rynkowej (takie rozwiązania funkcjonują na Węgrzech, w Austrii i w Rzeczypospolitej Polskiej). Przyjęte rozwiązania w </w:t>
            </w:r>
            <w:r w:rsidR="005E3E4F">
              <w:rPr>
                <w:rFonts w:ascii="Times New Roman" w:hAnsi="Times New Roman"/>
                <w:spacing w:val="-2"/>
              </w:rPr>
              <w:t xml:space="preserve">projekcie </w:t>
            </w:r>
            <w:r w:rsidRPr="0095120B">
              <w:rPr>
                <w:rFonts w:ascii="Times New Roman" w:hAnsi="Times New Roman"/>
                <w:spacing w:val="-2"/>
              </w:rPr>
              <w:t>ustaw</w:t>
            </w:r>
            <w:r w:rsidR="005E3E4F">
              <w:rPr>
                <w:rFonts w:ascii="Times New Roman" w:hAnsi="Times New Roman"/>
                <w:spacing w:val="-2"/>
              </w:rPr>
              <w:t>y</w:t>
            </w:r>
            <w:r w:rsidRPr="0095120B">
              <w:rPr>
                <w:rFonts w:ascii="Times New Roman" w:hAnsi="Times New Roman"/>
                <w:spacing w:val="-2"/>
              </w:rPr>
              <w:t xml:space="preserve"> są rozwiązaniami indywidualnymi zaprojektowanymi na potrzeby polskich realiów</w:t>
            </w:r>
            <w:r w:rsidR="00B57071" w:rsidRPr="0095120B">
              <w:rPr>
                <w:rFonts w:ascii="Times New Roman" w:hAnsi="Times New Roman"/>
                <w:spacing w:val="-2"/>
              </w:rPr>
              <w:t>.</w:t>
            </w:r>
            <w:r w:rsidRPr="0095120B">
              <w:rPr>
                <w:rFonts w:ascii="Times New Roman" w:hAnsi="Times New Roman"/>
                <w:spacing w:val="-2"/>
              </w:rPr>
              <w:t xml:space="preserve"> </w:t>
            </w:r>
          </w:p>
          <w:p w14:paraId="5F36E133" w14:textId="30094C68" w:rsidR="00EF5346" w:rsidRDefault="007A5557" w:rsidP="004663A3">
            <w:pPr>
              <w:spacing w:line="240" w:lineRule="auto"/>
              <w:jc w:val="both"/>
              <w:rPr>
                <w:rFonts w:ascii="Times New Roman" w:hAnsi="Times New Roman"/>
                <w:spacing w:val="-2"/>
              </w:rPr>
            </w:pPr>
            <w:r w:rsidRPr="0095120B">
              <w:rPr>
                <w:rFonts w:ascii="Times New Roman" w:hAnsi="Times New Roman"/>
                <w:spacing w:val="-2"/>
              </w:rPr>
              <w:t>Projektowane przepisy w zakresie refundacji indywidualnej nie mają odniesienia do innych systemów prawnych w</w:t>
            </w:r>
            <w:r w:rsidR="0095120B" w:rsidRPr="0095120B">
              <w:rPr>
                <w:rFonts w:ascii="Times New Roman" w:hAnsi="Times New Roman"/>
                <w:spacing w:val="-2"/>
              </w:rPr>
              <w:t> </w:t>
            </w:r>
            <w:r w:rsidRPr="0095120B">
              <w:rPr>
                <w:rFonts w:ascii="Times New Roman" w:hAnsi="Times New Roman"/>
                <w:spacing w:val="-2"/>
              </w:rPr>
              <w:t xml:space="preserve">przedmiotowym zakresie. Projekt </w:t>
            </w:r>
            <w:r w:rsidR="005E3E4F">
              <w:rPr>
                <w:rFonts w:ascii="Times New Roman" w:hAnsi="Times New Roman"/>
                <w:spacing w:val="-2"/>
              </w:rPr>
              <w:t xml:space="preserve">ustawy </w:t>
            </w:r>
            <w:r w:rsidRPr="0095120B">
              <w:rPr>
                <w:rFonts w:ascii="Times New Roman" w:hAnsi="Times New Roman"/>
                <w:spacing w:val="-2"/>
              </w:rPr>
              <w:t>stanowi domenę prawa krajowego.</w:t>
            </w:r>
            <w:r w:rsidR="00B20BDD">
              <w:rPr>
                <w:rFonts w:ascii="Times New Roman" w:hAnsi="Times New Roman"/>
                <w:spacing w:val="-2"/>
              </w:rPr>
              <w:t xml:space="preserve"> </w:t>
            </w:r>
          </w:p>
          <w:p w14:paraId="444D5D3E" w14:textId="7BD61603" w:rsidR="00EF5346" w:rsidRPr="0095120B" w:rsidRDefault="00EF5346" w:rsidP="004663A3">
            <w:pPr>
              <w:spacing w:line="240" w:lineRule="auto"/>
              <w:jc w:val="both"/>
              <w:rPr>
                <w:rFonts w:ascii="Times New Roman" w:hAnsi="Times New Roman"/>
                <w:spacing w:val="-2"/>
              </w:rPr>
            </w:pPr>
            <w:r>
              <w:rPr>
                <w:rFonts w:ascii="Times New Roman" w:hAnsi="Times New Roman"/>
                <w:spacing w:val="-2"/>
              </w:rPr>
              <w:t>Tym samym działania porównawcze względem przepisów zagranicznych</w:t>
            </w:r>
            <w:r w:rsidR="00B20BDD">
              <w:rPr>
                <w:rFonts w:ascii="Times New Roman" w:hAnsi="Times New Roman"/>
                <w:spacing w:val="-2"/>
              </w:rPr>
              <w:t xml:space="preserve"> </w:t>
            </w:r>
            <w:r>
              <w:rPr>
                <w:rFonts w:ascii="Times New Roman" w:hAnsi="Times New Roman"/>
                <w:spacing w:val="-2"/>
              </w:rPr>
              <w:t xml:space="preserve">nie </w:t>
            </w:r>
            <w:r w:rsidR="00B20BDD">
              <w:rPr>
                <w:rFonts w:ascii="Times New Roman" w:hAnsi="Times New Roman"/>
                <w:spacing w:val="-2"/>
              </w:rPr>
              <w:t xml:space="preserve">są </w:t>
            </w:r>
            <w:r>
              <w:rPr>
                <w:rFonts w:ascii="Times New Roman" w:hAnsi="Times New Roman"/>
                <w:spacing w:val="-2"/>
              </w:rPr>
              <w:t xml:space="preserve">uzasadnione w przypadku niniejszej inicjatywy legislacyjnej. </w:t>
            </w:r>
          </w:p>
        </w:tc>
      </w:tr>
      <w:tr w:rsidR="0095120B" w:rsidRPr="0095120B" w14:paraId="11AA21DD" w14:textId="77777777" w:rsidTr="004663A3">
        <w:trPr>
          <w:trHeight w:val="359"/>
        </w:trPr>
        <w:tc>
          <w:tcPr>
            <w:tcW w:w="10803" w:type="dxa"/>
            <w:gridSpan w:val="27"/>
            <w:shd w:val="clear" w:color="auto" w:fill="99CCFF"/>
            <w:vAlign w:val="center"/>
          </w:tcPr>
          <w:p w14:paraId="5CB11CC9" w14:textId="77777777" w:rsidR="00D213AA" w:rsidRPr="0095120B" w:rsidRDefault="00D213AA" w:rsidP="00D213AA">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rPr>
              <w:t>Podmioty, na które oddziałuje projekt</w:t>
            </w:r>
          </w:p>
        </w:tc>
      </w:tr>
      <w:tr w:rsidR="0095120B" w:rsidRPr="0095120B" w14:paraId="447F306B" w14:textId="77777777" w:rsidTr="00E57605">
        <w:trPr>
          <w:trHeight w:val="142"/>
        </w:trPr>
        <w:tc>
          <w:tcPr>
            <w:tcW w:w="2368" w:type="dxa"/>
            <w:gridSpan w:val="4"/>
            <w:shd w:val="clear" w:color="auto" w:fill="auto"/>
          </w:tcPr>
          <w:p w14:paraId="46E1E2C4" w14:textId="77777777" w:rsidR="00D213AA" w:rsidRPr="0095120B" w:rsidRDefault="00D213AA" w:rsidP="00D213AA">
            <w:pPr>
              <w:spacing w:before="40" w:line="240" w:lineRule="auto"/>
              <w:jc w:val="center"/>
              <w:rPr>
                <w:rFonts w:ascii="Times New Roman" w:hAnsi="Times New Roman"/>
                <w:spacing w:val="-2"/>
              </w:rPr>
            </w:pPr>
            <w:r w:rsidRPr="0095120B">
              <w:rPr>
                <w:rFonts w:ascii="Times New Roman" w:hAnsi="Times New Roman"/>
                <w:spacing w:val="-2"/>
              </w:rPr>
              <w:t>Grupa</w:t>
            </w:r>
          </w:p>
        </w:tc>
        <w:tc>
          <w:tcPr>
            <w:tcW w:w="2093" w:type="dxa"/>
            <w:gridSpan w:val="7"/>
            <w:shd w:val="clear" w:color="auto" w:fill="auto"/>
          </w:tcPr>
          <w:p w14:paraId="62C55DFB" w14:textId="77777777" w:rsidR="00D213AA" w:rsidRPr="0095120B" w:rsidRDefault="00D213AA" w:rsidP="00D213AA">
            <w:pPr>
              <w:spacing w:before="40" w:line="240" w:lineRule="auto"/>
              <w:jc w:val="center"/>
              <w:rPr>
                <w:rFonts w:ascii="Times New Roman" w:hAnsi="Times New Roman"/>
                <w:spacing w:val="-2"/>
              </w:rPr>
            </w:pPr>
            <w:r w:rsidRPr="0095120B">
              <w:rPr>
                <w:rFonts w:ascii="Times New Roman" w:hAnsi="Times New Roman"/>
                <w:spacing w:val="-2"/>
              </w:rPr>
              <w:t>Wielkość</w:t>
            </w:r>
          </w:p>
        </w:tc>
        <w:tc>
          <w:tcPr>
            <w:tcW w:w="3078" w:type="dxa"/>
            <w:gridSpan w:val="10"/>
            <w:shd w:val="clear" w:color="auto" w:fill="auto"/>
          </w:tcPr>
          <w:p w14:paraId="48B34BC9" w14:textId="77777777" w:rsidR="00D213AA" w:rsidRPr="0095120B" w:rsidRDefault="00D213AA" w:rsidP="00D213AA">
            <w:pPr>
              <w:spacing w:before="40" w:line="240" w:lineRule="auto"/>
              <w:jc w:val="center"/>
              <w:rPr>
                <w:rFonts w:ascii="Times New Roman" w:hAnsi="Times New Roman"/>
                <w:spacing w:val="-2"/>
              </w:rPr>
            </w:pPr>
            <w:r w:rsidRPr="0095120B">
              <w:rPr>
                <w:rFonts w:ascii="Times New Roman" w:hAnsi="Times New Roman"/>
                <w:spacing w:val="-2"/>
              </w:rPr>
              <w:t>Źródło danych</w:t>
            </w:r>
            <w:r w:rsidRPr="0095120B" w:rsidDel="00260F33">
              <w:rPr>
                <w:rFonts w:ascii="Times New Roman" w:hAnsi="Times New Roman"/>
                <w:spacing w:val="-2"/>
              </w:rPr>
              <w:t xml:space="preserve"> </w:t>
            </w:r>
          </w:p>
        </w:tc>
        <w:tc>
          <w:tcPr>
            <w:tcW w:w="3264" w:type="dxa"/>
            <w:gridSpan w:val="6"/>
            <w:shd w:val="clear" w:color="auto" w:fill="auto"/>
          </w:tcPr>
          <w:p w14:paraId="216F438D" w14:textId="77777777" w:rsidR="00D213AA" w:rsidRPr="0095120B" w:rsidRDefault="00D213AA" w:rsidP="00D213AA">
            <w:pPr>
              <w:spacing w:before="40" w:line="240" w:lineRule="auto"/>
              <w:jc w:val="center"/>
              <w:rPr>
                <w:rFonts w:ascii="Times New Roman" w:hAnsi="Times New Roman"/>
                <w:spacing w:val="-2"/>
              </w:rPr>
            </w:pPr>
            <w:r w:rsidRPr="0095120B">
              <w:rPr>
                <w:rFonts w:ascii="Times New Roman" w:hAnsi="Times New Roman"/>
                <w:spacing w:val="-2"/>
              </w:rPr>
              <w:t>Oddziaływanie</w:t>
            </w:r>
          </w:p>
        </w:tc>
      </w:tr>
      <w:tr w:rsidR="0095120B" w:rsidRPr="0095120B" w14:paraId="7D1B5B6B" w14:textId="77777777" w:rsidTr="00E57605">
        <w:trPr>
          <w:trHeight w:val="142"/>
        </w:trPr>
        <w:tc>
          <w:tcPr>
            <w:tcW w:w="2368" w:type="dxa"/>
            <w:gridSpan w:val="4"/>
            <w:shd w:val="clear" w:color="auto" w:fill="auto"/>
          </w:tcPr>
          <w:p w14:paraId="14B737BA" w14:textId="2E4CFB40" w:rsidR="007A5557" w:rsidRPr="0095120B" w:rsidRDefault="00814749" w:rsidP="005E3E4F">
            <w:pPr>
              <w:spacing w:before="40" w:line="240" w:lineRule="auto"/>
              <w:rPr>
                <w:rFonts w:ascii="Times New Roman" w:hAnsi="Times New Roman"/>
                <w:spacing w:val="-2"/>
              </w:rPr>
            </w:pPr>
            <w:r w:rsidRPr="0095120B">
              <w:rPr>
                <w:rFonts w:ascii="Times New Roman" w:hAnsi="Times New Roman"/>
              </w:rPr>
              <w:t>ś</w:t>
            </w:r>
            <w:r w:rsidR="007A5557" w:rsidRPr="0095120B">
              <w:rPr>
                <w:rFonts w:ascii="Times New Roman" w:hAnsi="Times New Roman"/>
              </w:rPr>
              <w:t xml:space="preserve">wiadczeniobiorcy </w:t>
            </w:r>
          </w:p>
        </w:tc>
        <w:tc>
          <w:tcPr>
            <w:tcW w:w="2093" w:type="dxa"/>
            <w:gridSpan w:val="7"/>
            <w:shd w:val="clear" w:color="auto" w:fill="auto"/>
          </w:tcPr>
          <w:p w14:paraId="53E1A353" w14:textId="6D81840D" w:rsidR="007A5557" w:rsidRPr="0095120B" w:rsidRDefault="007A5557" w:rsidP="004663A3">
            <w:pPr>
              <w:spacing w:before="40" w:line="240" w:lineRule="auto"/>
              <w:jc w:val="center"/>
              <w:rPr>
                <w:rFonts w:ascii="Times New Roman" w:hAnsi="Times New Roman"/>
                <w:spacing w:val="-2"/>
              </w:rPr>
            </w:pPr>
            <w:r w:rsidRPr="0095120B">
              <w:rPr>
                <w:rFonts w:ascii="Times New Roman" w:hAnsi="Times New Roman"/>
              </w:rPr>
              <w:t>ok. 35,1 mln osób</w:t>
            </w:r>
          </w:p>
        </w:tc>
        <w:tc>
          <w:tcPr>
            <w:tcW w:w="3078" w:type="dxa"/>
            <w:gridSpan w:val="10"/>
            <w:shd w:val="clear" w:color="auto" w:fill="auto"/>
          </w:tcPr>
          <w:p w14:paraId="12438F4E" w14:textId="1CB3D4A5" w:rsidR="007A5557" w:rsidRPr="0095120B" w:rsidRDefault="007A5557" w:rsidP="004663A3">
            <w:pPr>
              <w:spacing w:before="40" w:line="240" w:lineRule="auto"/>
              <w:jc w:val="center"/>
              <w:rPr>
                <w:rFonts w:ascii="Times New Roman" w:hAnsi="Times New Roman"/>
                <w:spacing w:val="-2"/>
              </w:rPr>
            </w:pPr>
            <w:r w:rsidRPr="0095120B">
              <w:rPr>
                <w:rFonts w:ascii="Times New Roman" w:hAnsi="Times New Roman"/>
              </w:rPr>
              <w:t>Centralny Wykaz Ubezpieczonych</w:t>
            </w:r>
          </w:p>
        </w:tc>
        <w:tc>
          <w:tcPr>
            <w:tcW w:w="3264" w:type="dxa"/>
            <w:gridSpan w:val="6"/>
            <w:shd w:val="clear" w:color="auto" w:fill="auto"/>
          </w:tcPr>
          <w:p w14:paraId="50DC7167" w14:textId="792810FD" w:rsidR="007A5557" w:rsidRPr="0095120B" w:rsidRDefault="005E3E4F" w:rsidP="0095120B">
            <w:pPr>
              <w:spacing w:before="40" w:line="240" w:lineRule="auto"/>
              <w:rPr>
                <w:rFonts w:ascii="Times New Roman" w:hAnsi="Times New Roman"/>
              </w:rPr>
            </w:pPr>
            <w:r>
              <w:rPr>
                <w:rFonts w:ascii="Times New Roman" w:hAnsi="Times New Roman"/>
              </w:rPr>
              <w:t>z</w:t>
            </w:r>
            <w:r w:rsidR="007A5557" w:rsidRPr="0095120B">
              <w:rPr>
                <w:rFonts w:ascii="Times New Roman" w:hAnsi="Times New Roman"/>
              </w:rPr>
              <w:t>apewnienie lepszego dostępu do</w:t>
            </w:r>
            <w:r w:rsidR="0095120B" w:rsidRPr="0095120B">
              <w:rPr>
                <w:rFonts w:ascii="Times New Roman" w:hAnsi="Times New Roman"/>
              </w:rPr>
              <w:t> </w:t>
            </w:r>
            <w:r w:rsidR="007A5557" w:rsidRPr="0095120B">
              <w:rPr>
                <w:rFonts w:ascii="Times New Roman" w:hAnsi="Times New Roman"/>
              </w:rPr>
              <w:t>produktów refundowanych – leków, środków spożywczych i</w:t>
            </w:r>
            <w:r w:rsidR="0095120B" w:rsidRPr="0095120B">
              <w:rPr>
                <w:rFonts w:ascii="Times New Roman" w:hAnsi="Times New Roman"/>
              </w:rPr>
              <w:t> </w:t>
            </w:r>
            <w:r w:rsidR="007A5557" w:rsidRPr="0095120B">
              <w:rPr>
                <w:rFonts w:ascii="Times New Roman" w:hAnsi="Times New Roman"/>
              </w:rPr>
              <w:t>wyrobów medycznych</w:t>
            </w:r>
          </w:p>
          <w:p w14:paraId="44DD693E" w14:textId="7D67A2F1" w:rsidR="007A5557" w:rsidRPr="0095120B" w:rsidRDefault="007A5557" w:rsidP="0095120B">
            <w:pPr>
              <w:spacing w:before="40" w:line="240" w:lineRule="auto"/>
              <w:rPr>
                <w:rFonts w:ascii="Times New Roman" w:hAnsi="Times New Roman"/>
                <w:spacing w:val="-2"/>
              </w:rPr>
            </w:pPr>
          </w:p>
        </w:tc>
      </w:tr>
      <w:tr w:rsidR="0095120B" w:rsidRPr="0095120B" w14:paraId="230354D4" w14:textId="77777777" w:rsidTr="00E57605">
        <w:trPr>
          <w:trHeight w:val="142"/>
        </w:trPr>
        <w:tc>
          <w:tcPr>
            <w:tcW w:w="2368" w:type="dxa"/>
            <w:gridSpan w:val="4"/>
            <w:shd w:val="clear" w:color="auto" w:fill="auto"/>
          </w:tcPr>
          <w:p w14:paraId="5E715B8D" w14:textId="5A4F9CCA" w:rsidR="007A5557" w:rsidRPr="0095120B" w:rsidRDefault="00814749" w:rsidP="004663A3">
            <w:pPr>
              <w:spacing w:line="240" w:lineRule="auto"/>
              <w:rPr>
                <w:rFonts w:ascii="Times New Roman" w:hAnsi="Times New Roman"/>
                <w:spacing w:val="-2"/>
              </w:rPr>
            </w:pPr>
            <w:r w:rsidRPr="0095120B">
              <w:rPr>
                <w:rFonts w:ascii="Times New Roman" w:hAnsi="Times New Roman"/>
              </w:rPr>
              <w:t>ś</w:t>
            </w:r>
            <w:r w:rsidR="007A5557" w:rsidRPr="0095120B">
              <w:rPr>
                <w:rFonts w:ascii="Times New Roman" w:hAnsi="Times New Roman"/>
              </w:rPr>
              <w:t>wiadczeniodawcy</w:t>
            </w:r>
          </w:p>
        </w:tc>
        <w:tc>
          <w:tcPr>
            <w:tcW w:w="2093" w:type="dxa"/>
            <w:gridSpan w:val="7"/>
            <w:shd w:val="clear" w:color="auto" w:fill="auto"/>
          </w:tcPr>
          <w:p w14:paraId="3DD21287" w14:textId="21F5FC25" w:rsidR="007A5557" w:rsidRPr="0095120B" w:rsidRDefault="00814749" w:rsidP="004663A3">
            <w:pPr>
              <w:spacing w:line="240" w:lineRule="auto"/>
              <w:jc w:val="center"/>
              <w:rPr>
                <w:rFonts w:ascii="Times New Roman" w:hAnsi="Times New Roman"/>
                <w:spacing w:val="-2"/>
              </w:rPr>
            </w:pPr>
            <w:r w:rsidRPr="0095120B">
              <w:rPr>
                <w:rFonts w:ascii="Times New Roman" w:hAnsi="Times New Roman"/>
              </w:rPr>
              <w:t>w</w:t>
            </w:r>
            <w:r w:rsidR="007A5557" w:rsidRPr="0095120B">
              <w:rPr>
                <w:rFonts w:ascii="Times New Roman" w:hAnsi="Times New Roman"/>
              </w:rPr>
              <w:t xml:space="preserve">szyscy posiadający umowę z </w:t>
            </w:r>
            <w:r w:rsidR="00DE6C01" w:rsidRPr="0095120B">
              <w:rPr>
                <w:rFonts w:ascii="Times New Roman" w:hAnsi="Times New Roman"/>
              </w:rPr>
              <w:t>NFZ</w:t>
            </w:r>
            <w:r w:rsidR="000041D8" w:rsidRPr="0095120B">
              <w:rPr>
                <w:rFonts w:ascii="Times New Roman" w:hAnsi="Times New Roman"/>
              </w:rPr>
              <w:t xml:space="preserve"> </w:t>
            </w:r>
            <w:r w:rsidR="007A5557" w:rsidRPr="0095120B">
              <w:rPr>
                <w:rFonts w:ascii="Times New Roman" w:hAnsi="Times New Roman"/>
              </w:rPr>
              <w:t xml:space="preserve">na udzielanie świadczeń opieki zdrowotnej; potencjalnie każdy podmiot wykonujący działalność leczniczą </w:t>
            </w:r>
          </w:p>
        </w:tc>
        <w:tc>
          <w:tcPr>
            <w:tcW w:w="3078" w:type="dxa"/>
            <w:gridSpan w:val="10"/>
            <w:shd w:val="clear" w:color="auto" w:fill="auto"/>
          </w:tcPr>
          <w:p w14:paraId="3F1DAADF" w14:textId="50BE2740" w:rsidR="007A5557" w:rsidRPr="0095120B" w:rsidRDefault="00DE6C01" w:rsidP="004663A3">
            <w:pPr>
              <w:spacing w:line="240" w:lineRule="auto"/>
              <w:jc w:val="both"/>
              <w:rPr>
                <w:rFonts w:ascii="Times New Roman" w:hAnsi="Times New Roman"/>
                <w:spacing w:val="-2"/>
              </w:rPr>
            </w:pPr>
            <w:r w:rsidRPr="0095120B">
              <w:rPr>
                <w:rFonts w:ascii="Times New Roman" w:hAnsi="Times New Roman"/>
              </w:rPr>
              <w:t>NFZ</w:t>
            </w:r>
            <w:r w:rsidR="007A5557" w:rsidRPr="0095120B">
              <w:rPr>
                <w:rFonts w:ascii="Times New Roman" w:hAnsi="Times New Roman"/>
              </w:rPr>
              <w:t xml:space="preserve">; ustawa z dnia 27 sierpnia 2004 r. o świadczeniach opieki zdrowotnej finansowanych ze środków publicznych, ustawa z dnia 15 kwietnia 2011 r. o działalności leczniczej </w:t>
            </w:r>
            <w:r w:rsidR="004924D6" w:rsidRPr="0095120B">
              <w:rPr>
                <w:rFonts w:ascii="Times New Roman" w:hAnsi="Times New Roman"/>
              </w:rPr>
              <w:t xml:space="preserve">(Dz. U. z </w:t>
            </w:r>
            <w:r w:rsidR="005653C4">
              <w:rPr>
                <w:rFonts w:ascii="Times New Roman" w:hAnsi="Times New Roman"/>
              </w:rPr>
              <w:t>2025 r. poz. 450</w:t>
            </w:r>
            <w:r w:rsidR="003F6220">
              <w:rPr>
                <w:rFonts w:ascii="Times New Roman" w:hAnsi="Times New Roman"/>
              </w:rPr>
              <w:t>, z późn. zm.</w:t>
            </w:r>
            <w:r w:rsidR="004924D6" w:rsidRPr="0095120B">
              <w:rPr>
                <w:rFonts w:ascii="Times New Roman" w:hAnsi="Times New Roman"/>
              </w:rPr>
              <w:t>)</w:t>
            </w:r>
          </w:p>
        </w:tc>
        <w:tc>
          <w:tcPr>
            <w:tcW w:w="3264" w:type="dxa"/>
            <w:gridSpan w:val="6"/>
            <w:shd w:val="clear" w:color="auto" w:fill="auto"/>
          </w:tcPr>
          <w:p w14:paraId="70310114" w14:textId="0E6963F9" w:rsidR="007A5557" w:rsidRPr="0095120B" w:rsidRDefault="005E3E4F" w:rsidP="0095120B">
            <w:pPr>
              <w:spacing w:line="240" w:lineRule="auto"/>
              <w:rPr>
                <w:rFonts w:ascii="Times New Roman" w:hAnsi="Times New Roman"/>
              </w:rPr>
            </w:pPr>
            <w:r>
              <w:rPr>
                <w:rFonts w:ascii="Times New Roman" w:hAnsi="Times New Roman"/>
              </w:rPr>
              <w:t>u</w:t>
            </w:r>
            <w:r w:rsidR="007A5557" w:rsidRPr="0095120B">
              <w:rPr>
                <w:rFonts w:ascii="Times New Roman" w:hAnsi="Times New Roman"/>
              </w:rPr>
              <w:t>tworzenie kont dla podmiotów leczniczych</w:t>
            </w:r>
            <w:r w:rsidR="00EF5346">
              <w:rPr>
                <w:rFonts w:ascii="Times New Roman" w:hAnsi="Times New Roman"/>
              </w:rPr>
              <w:t>, co</w:t>
            </w:r>
            <w:r w:rsidR="007A5557" w:rsidRPr="0095120B">
              <w:rPr>
                <w:rFonts w:ascii="Times New Roman" w:hAnsi="Times New Roman"/>
              </w:rPr>
              <w:t xml:space="preserve"> umożliwi upoważnionym przedstawicielom podmiotów leczniczych weryfikację wszystkich zapotrzebowań wystawianych na produkty stosowane w podmiocie leczniczym oraz usprawni proces realizacji zapotrzebowań</w:t>
            </w:r>
          </w:p>
        </w:tc>
      </w:tr>
      <w:tr w:rsidR="0095120B" w:rsidRPr="0095120B" w14:paraId="424639ED" w14:textId="77777777" w:rsidTr="00E57605">
        <w:trPr>
          <w:trHeight w:val="142"/>
        </w:trPr>
        <w:tc>
          <w:tcPr>
            <w:tcW w:w="2368" w:type="dxa"/>
            <w:gridSpan w:val="4"/>
            <w:shd w:val="clear" w:color="auto" w:fill="auto"/>
          </w:tcPr>
          <w:p w14:paraId="7F8ACD90" w14:textId="06824C0A" w:rsidR="007A5557" w:rsidRPr="0095120B" w:rsidRDefault="007A5557" w:rsidP="004663A3">
            <w:pPr>
              <w:spacing w:line="240" w:lineRule="auto"/>
              <w:rPr>
                <w:rFonts w:ascii="Times New Roman" w:hAnsi="Times New Roman"/>
              </w:rPr>
            </w:pPr>
            <w:r w:rsidRPr="0095120B">
              <w:rPr>
                <w:rFonts w:ascii="Times New Roman" w:hAnsi="Times New Roman"/>
              </w:rPr>
              <w:t>Minister Zdrowia</w:t>
            </w:r>
          </w:p>
        </w:tc>
        <w:tc>
          <w:tcPr>
            <w:tcW w:w="2093" w:type="dxa"/>
            <w:gridSpan w:val="7"/>
            <w:shd w:val="clear" w:color="auto" w:fill="auto"/>
          </w:tcPr>
          <w:p w14:paraId="0AFD117D" w14:textId="4FABDB2C" w:rsidR="007A5557" w:rsidRPr="0095120B" w:rsidRDefault="007A5557" w:rsidP="004663A3">
            <w:pPr>
              <w:spacing w:line="240" w:lineRule="auto"/>
              <w:jc w:val="center"/>
              <w:rPr>
                <w:rFonts w:ascii="Times New Roman" w:hAnsi="Times New Roman"/>
              </w:rPr>
            </w:pPr>
            <w:r w:rsidRPr="0095120B">
              <w:rPr>
                <w:rFonts w:ascii="Times New Roman" w:hAnsi="Times New Roman"/>
              </w:rPr>
              <w:t>1</w:t>
            </w:r>
          </w:p>
        </w:tc>
        <w:tc>
          <w:tcPr>
            <w:tcW w:w="3078" w:type="dxa"/>
            <w:gridSpan w:val="10"/>
            <w:shd w:val="clear" w:color="auto" w:fill="auto"/>
          </w:tcPr>
          <w:p w14:paraId="2994ABC6" w14:textId="4119AB62" w:rsidR="007A5557" w:rsidRPr="0095120B" w:rsidRDefault="00814749" w:rsidP="004663A3">
            <w:pPr>
              <w:spacing w:line="240" w:lineRule="auto"/>
              <w:jc w:val="both"/>
              <w:rPr>
                <w:rFonts w:ascii="Times New Roman" w:hAnsi="Times New Roman"/>
              </w:rPr>
            </w:pPr>
            <w:r w:rsidRPr="0095120B">
              <w:rPr>
                <w:rFonts w:ascii="Times New Roman" w:hAnsi="Times New Roman"/>
              </w:rPr>
              <w:t>u</w:t>
            </w:r>
            <w:r w:rsidR="007A5557" w:rsidRPr="0095120B">
              <w:rPr>
                <w:rFonts w:ascii="Times New Roman" w:hAnsi="Times New Roman"/>
              </w:rPr>
              <w:t xml:space="preserve">stawa z dnia 4 września 1997 r. o działach administracji rządowej (Dz. U. z </w:t>
            </w:r>
            <w:r w:rsidR="000041D8" w:rsidRPr="0095120B">
              <w:rPr>
                <w:rFonts w:ascii="Times New Roman" w:hAnsi="Times New Roman"/>
              </w:rPr>
              <w:t>2024 r. poz. 1370</w:t>
            </w:r>
            <w:r w:rsidR="00B56FAF">
              <w:rPr>
                <w:rFonts w:ascii="Times New Roman" w:hAnsi="Times New Roman"/>
              </w:rPr>
              <w:t>, z późn. zm.</w:t>
            </w:r>
            <w:r w:rsidR="000041D8" w:rsidRPr="0095120B">
              <w:rPr>
                <w:rFonts w:ascii="Times New Roman" w:hAnsi="Times New Roman"/>
              </w:rPr>
              <w:t xml:space="preserve">) </w:t>
            </w:r>
          </w:p>
        </w:tc>
        <w:tc>
          <w:tcPr>
            <w:tcW w:w="3264" w:type="dxa"/>
            <w:gridSpan w:val="6"/>
            <w:shd w:val="clear" w:color="auto" w:fill="auto"/>
          </w:tcPr>
          <w:p w14:paraId="478E89B8" w14:textId="1A706C01" w:rsidR="007A5557" w:rsidRPr="0095120B" w:rsidRDefault="005E3E4F" w:rsidP="0095120B">
            <w:pPr>
              <w:spacing w:line="240" w:lineRule="auto"/>
              <w:rPr>
                <w:rFonts w:ascii="Times New Roman" w:hAnsi="Times New Roman"/>
              </w:rPr>
            </w:pPr>
            <w:r>
              <w:rPr>
                <w:rFonts w:ascii="Times New Roman" w:hAnsi="Times New Roman"/>
              </w:rPr>
              <w:t>z</w:t>
            </w:r>
            <w:r w:rsidR="007A5557" w:rsidRPr="0095120B">
              <w:rPr>
                <w:rFonts w:ascii="Times New Roman" w:hAnsi="Times New Roman"/>
              </w:rPr>
              <w:t xml:space="preserve">miany związane ze </w:t>
            </w:r>
            <w:r w:rsidR="00EF5346">
              <w:rPr>
                <w:rFonts w:ascii="Times New Roman" w:hAnsi="Times New Roman"/>
              </w:rPr>
              <w:t>sposobem</w:t>
            </w:r>
            <w:r w:rsidR="00EF5346" w:rsidRPr="0095120B">
              <w:rPr>
                <w:rFonts w:ascii="Times New Roman" w:hAnsi="Times New Roman"/>
              </w:rPr>
              <w:t xml:space="preserve"> </w:t>
            </w:r>
            <w:r w:rsidR="007A5557" w:rsidRPr="0095120B">
              <w:rPr>
                <w:rFonts w:ascii="Times New Roman" w:hAnsi="Times New Roman"/>
              </w:rPr>
              <w:t>prowadzenia postępowania refundacyjnego</w:t>
            </w:r>
          </w:p>
        </w:tc>
      </w:tr>
      <w:tr w:rsidR="0095120B" w:rsidRPr="0095120B" w14:paraId="67711399" w14:textId="77777777" w:rsidTr="00E57605">
        <w:trPr>
          <w:trHeight w:val="142"/>
        </w:trPr>
        <w:tc>
          <w:tcPr>
            <w:tcW w:w="2368" w:type="dxa"/>
            <w:gridSpan w:val="4"/>
            <w:shd w:val="clear" w:color="auto" w:fill="auto"/>
          </w:tcPr>
          <w:p w14:paraId="1FA2071C" w14:textId="77777777" w:rsidR="007A5557" w:rsidRPr="0095120B" w:rsidRDefault="007A5557" w:rsidP="004663A3">
            <w:pPr>
              <w:tabs>
                <w:tab w:val="left" w:pos="1560"/>
              </w:tabs>
              <w:spacing w:line="240" w:lineRule="auto"/>
              <w:rPr>
                <w:rFonts w:ascii="Times New Roman" w:hAnsi="Times New Roman"/>
              </w:rPr>
            </w:pPr>
            <w:r w:rsidRPr="0095120B">
              <w:rPr>
                <w:rFonts w:ascii="Times New Roman" w:hAnsi="Times New Roman"/>
              </w:rPr>
              <w:t xml:space="preserve">Komisja Ekonomiczna </w:t>
            </w:r>
          </w:p>
        </w:tc>
        <w:tc>
          <w:tcPr>
            <w:tcW w:w="2093" w:type="dxa"/>
            <w:gridSpan w:val="7"/>
            <w:shd w:val="clear" w:color="auto" w:fill="auto"/>
          </w:tcPr>
          <w:p w14:paraId="25F78FF8" w14:textId="77777777" w:rsidR="007A5557" w:rsidRPr="0095120B" w:rsidRDefault="007A5557" w:rsidP="004663A3">
            <w:pPr>
              <w:spacing w:line="240" w:lineRule="auto"/>
              <w:rPr>
                <w:rFonts w:ascii="Times New Roman" w:hAnsi="Times New Roman"/>
                <w:spacing w:val="-2"/>
              </w:rPr>
            </w:pPr>
            <w:r w:rsidRPr="0095120B">
              <w:rPr>
                <w:rFonts w:ascii="Times New Roman" w:hAnsi="Times New Roman"/>
                <w:spacing w:val="-2"/>
              </w:rPr>
              <w:t>1</w:t>
            </w:r>
          </w:p>
        </w:tc>
        <w:tc>
          <w:tcPr>
            <w:tcW w:w="3078" w:type="dxa"/>
            <w:gridSpan w:val="10"/>
            <w:shd w:val="clear" w:color="auto" w:fill="auto"/>
          </w:tcPr>
          <w:p w14:paraId="255AEBEC" w14:textId="7DB457C9" w:rsidR="007A5557" w:rsidRPr="0095120B" w:rsidRDefault="00814749" w:rsidP="004663A3">
            <w:pPr>
              <w:spacing w:line="240" w:lineRule="auto"/>
              <w:rPr>
                <w:rFonts w:ascii="Times New Roman" w:hAnsi="Times New Roman"/>
                <w:spacing w:val="-2"/>
              </w:rPr>
            </w:pPr>
            <w:r w:rsidRPr="0095120B">
              <w:rPr>
                <w:rFonts w:ascii="Times New Roman" w:hAnsi="Times New Roman"/>
                <w:spacing w:val="-2"/>
              </w:rPr>
              <w:t>u</w:t>
            </w:r>
            <w:r w:rsidR="007A5557" w:rsidRPr="0095120B">
              <w:rPr>
                <w:rFonts w:ascii="Times New Roman" w:hAnsi="Times New Roman"/>
                <w:spacing w:val="-2"/>
              </w:rPr>
              <w:t>stawa z dnia 27 sierpnia 2004 r. o świadczeniach opieki zdrowotnej finansowanych ze środków publicznych</w:t>
            </w:r>
            <w:r w:rsidR="007A5557" w:rsidRPr="0095120B">
              <w:rPr>
                <w:rFonts w:ascii="Times New Roman" w:hAnsi="Times New Roman"/>
              </w:rPr>
              <w:t xml:space="preserve"> </w:t>
            </w:r>
            <w:r w:rsidR="007A5557" w:rsidRPr="0095120B">
              <w:rPr>
                <w:rFonts w:ascii="Times New Roman" w:hAnsi="Times New Roman"/>
                <w:spacing w:val="-2"/>
              </w:rPr>
              <w:t xml:space="preserve">oraz ustawa </w:t>
            </w:r>
            <w:r w:rsidR="005E3E4F">
              <w:rPr>
                <w:rFonts w:ascii="Times New Roman" w:hAnsi="Times New Roman"/>
                <w:spacing w:val="-2"/>
              </w:rPr>
              <w:t xml:space="preserve">refundacyjna </w:t>
            </w:r>
          </w:p>
        </w:tc>
        <w:tc>
          <w:tcPr>
            <w:tcW w:w="3264" w:type="dxa"/>
            <w:gridSpan w:val="6"/>
            <w:shd w:val="clear" w:color="auto" w:fill="auto"/>
          </w:tcPr>
          <w:p w14:paraId="35D3741F" w14:textId="4C7D97E5" w:rsidR="00154E4A" w:rsidRPr="0095120B" w:rsidRDefault="005E3E4F" w:rsidP="004663A3">
            <w:pPr>
              <w:spacing w:line="240" w:lineRule="auto"/>
              <w:rPr>
                <w:rFonts w:ascii="Times New Roman" w:hAnsi="Times New Roman"/>
                <w:spacing w:val="-2"/>
              </w:rPr>
            </w:pPr>
            <w:r>
              <w:rPr>
                <w:rFonts w:ascii="Times New Roman" w:hAnsi="Times New Roman"/>
                <w:spacing w:val="-2"/>
              </w:rPr>
              <w:t>w</w:t>
            </w:r>
            <w:r w:rsidR="00154E4A" w:rsidRPr="0095120B">
              <w:rPr>
                <w:rFonts w:ascii="Times New Roman" w:hAnsi="Times New Roman"/>
                <w:spacing w:val="-2"/>
              </w:rPr>
              <w:t xml:space="preserve">prowadzenie kadencyjności Komisji Ekonomicznej oraz wymogu przedstawienia </w:t>
            </w:r>
            <w:r w:rsidR="00616555" w:rsidRPr="0095120B">
              <w:rPr>
                <w:rFonts w:ascii="Times New Roman" w:hAnsi="Times New Roman"/>
                <w:spacing w:val="-2"/>
              </w:rPr>
              <w:t xml:space="preserve">dokumentów </w:t>
            </w:r>
            <w:r w:rsidR="00154E4A" w:rsidRPr="0095120B">
              <w:rPr>
                <w:rFonts w:ascii="Times New Roman" w:hAnsi="Times New Roman"/>
                <w:spacing w:val="-2"/>
              </w:rPr>
              <w:t xml:space="preserve">potwierdzających ukończenie </w:t>
            </w:r>
            <w:r w:rsidR="0022778F" w:rsidRPr="0095120B">
              <w:rPr>
                <w:rFonts w:ascii="Times New Roman" w:hAnsi="Times New Roman"/>
                <w:spacing w:val="-2"/>
              </w:rPr>
              <w:t>określonych kierunków</w:t>
            </w:r>
            <w:r w:rsidR="00154E4A" w:rsidRPr="0095120B">
              <w:rPr>
                <w:rFonts w:ascii="Times New Roman" w:hAnsi="Times New Roman"/>
                <w:spacing w:val="-2"/>
              </w:rPr>
              <w:t xml:space="preserve"> studiów lub </w:t>
            </w:r>
            <w:r w:rsidR="0022778F" w:rsidRPr="0095120B">
              <w:rPr>
                <w:rFonts w:ascii="Times New Roman" w:hAnsi="Times New Roman"/>
                <w:spacing w:val="-2"/>
              </w:rPr>
              <w:t xml:space="preserve">określonych </w:t>
            </w:r>
            <w:r w:rsidR="00154E4A" w:rsidRPr="0095120B">
              <w:rPr>
                <w:rFonts w:ascii="Times New Roman" w:hAnsi="Times New Roman"/>
                <w:spacing w:val="-2"/>
              </w:rPr>
              <w:t>kursów</w:t>
            </w:r>
            <w:r>
              <w:rPr>
                <w:rFonts w:ascii="Times New Roman" w:hAnsi="Times New Roman"/>
                <w:spacing w:val="-2"/>
              </w:rPr>
              <w:t>;</w:t>
            </w:r>
            <w:r w:rsidR="00154E4A" w:rsidRPr="0095120B">
              <w:rPr>
                <w:rFonts w:ascii="Times New Roman" w:hAnsi="Times New Roman"/>
                <w:spacing w:val="-2"/>
              </w:rPr>
              <w:t xml:space="preserve"> </w:t>
            </w:r>
          </w:p>
          <w:p w14:paraId="2C197382" w14:textId="72291FA5" w:rsidR="007A5557" w:rsidRPr="0095120B" w:rsidRDefault="005E3E4F" w:rsidP="004663A3">
            <w:pPr>
              <w:spacing w:line="240" w:lineRule="auto"/>
              <w:rPr>
                <w:rFonts w:ascii="Times New Roman" w:hAnsi="Times New Roman"/>
                <w:spacing w:val="-2"/>
              </w:rPr>
            </w:pPr>
            <w:r>
              <w:rPr>
                <w:rFonts w:ascii="Times New Roman" w:hAnsi="Times New Roman"/>
                <w:spacing w:val="-2"/>
              </w:rPr>
              <w:t>d</w:t>
            </w:r>
            <w:r w:rsidR="00154E4A" w:rsidRPr="0095120B">
              <w:rPr>
                <w:rFonts w:ascii="Times New Roman" w:hAnsi="Times New Roman"/>
                <w:spacing w:val="-2"/>
              </w:rPr>
              <w:t>odatkowe zadanie polegające na negocjowaniu deklaracji dostaw</w:t>
            </w:r>
          </w:p>
        </w:tc>
      </w:tr>
      <w:tr w:rsidR="0095120B" w:rsidRPr="0095120B" w14:paraId="6997E91D" w14:textId="77777777" w:rsidTr="00E57605">
        <w:trPr>
          <w:trHeight w:val="142"/>
        </w:trPr>
        <w:tc>
          <w:tcPr>
            <w:tcW w:w="2368" w:type="dxa"/>
            <w:gridSpan w:val="4"/>
            <w:shd w:val="clear" w:color="auto" w:fill="auto"/>
          </w:tcPr>
          <w:p w14:paraId="30AE554A" w14:textId="4D175C0C" w:rsidR="00F01E2F" w:rsidRPr="0095120B" w:rsidRDefault="00F01E2F" w:rsidP="004663A3">
            <w:pPr>
              <w:tabs>
                <w:tab w:val="left" w:pos="1560"/>
              </w:tabs>
              <w:spacing w:line="240" w:lineRule="auto"/>
              <w:rPr>
                <w:rFonts w:ascii="Times New Roman" w:hAnsi="Times New Roman"/>
              </w:rPr>
            </w:pPr>
            <w:r w:rsidRPr="0095120B">
              <w:rPr>
                <w:rFonts w:ascii="Times New Roman" w:hAnsi="Times New Roman"/>
              </w:rPr>
              <w:t>Centrum e</w:t>
            </w:r>
            <w:r w:rsidR="00826CC6" w:rsidRPr="0095120B">
              <w:rPr>
                <w:rFonts w:ascii="Times New Roman" w:hAnsi="Times New Roman"/>
              </w:rPr>
              <w:t xml:space="preserve">- </w:t>
            </w:r>
            <w:r w:rsidRPr="0095120B">
              <w:rPr>
                <w:rFonts w:ascii="Times New Roman" w:hAnsi="Times New Roman"/>
              </w:rPr>
              <w:t>Zdrowia</w:t>
            </w:r>
          </w:p>
        </w:tc>
        <w:tc>
          <w:tcPr>
            <w:tcW w:w="2093" w:type="dxa"/>
            <w:gridSpan w:val="7"/>
            <w:shd w:val="clear" w:color="auto" w:fill="auto"/>
          </w:tcPr>
          <w:p w14:paraId="2B0ABED7" w14:textId="3C1147C8" w:rsidR="00F01E2F" w:rsidRPr="0095120B" w:rsidRDefault="00F01E2F" w:rsidP="004663A3">
            <w:pPr>
              <w:spacing w:line="240" w:lineRule="auto"/>
              <w:rPr>
                <w:rFonts w:ascii="Times New Roman" w:hAnsi="Times New Roman"/>
                <w:spacing w:val="-2"/>
              </w:rPr>
            </w:pPr>
            <w:r w:rsidRPr="0095120B">
              <w:rPr>
                <w:rFonts w:ascii="Times New Roman" w:hAnsi="Times New Roman"/>
                <w:spacing w:val="-2"/>
              </w:rPr>
              <w:t>1</w:t>
            </w:r>
          </w:p>
        </w:tc>
        <w:tc>
          <w:tcPr>
            <w:tcW w:w="3078" w:type="dxa"/>
            <w:gridSpan w:val="10"/>
            <w:shd w:val="clear" w:color="auto" w:fill="auto"/>
          </w:tcPr>
          <w:p w14:paraId="56481878" w14:textId="5F175C29" w:rsidR="00F01E2F" w:rsidRPr="0095120B" w:rsidRDefault="00814749" w:rsidP="004663A3">
            <w:pPr>
              <w:spacing w:line="240" w:lineRule="auto"/>
              <w:rPr>
                <w:rFonts w:ascii="Times New Roman" w:hAnsi="Times New Roman"/>
                <w:spacing w:val="-2"/>
              </w:rPr>
            </w:pPr>
            <w:r w:rsidRPr="0095120B">
              <w:rPr>
                <w:rFonts w:ascii="Times New Roman" w:hAnsi="Times New Roman"/>
                <w:spacing w:val="-2"/>
              </w:rPr>
              <w:t>u</w:t>
            </w:r>
            <w:r w:rsidR="00826CC6" w:rsidRPr="0095120B">
              <w:rPr>
                <w:rFonts w:ascii="Times New Roman" w:hAnsi="Times New Roman"/>
                <w:spacing w:val="-2"/>
              </w:rPr>
              <w:t xml:space="preserve">stawa z dnia 28 kwietnia 2011 r. o systemie informacji w ochronie zdrowia </w:t>
            </w:r>
          </w:p>
        </w:tc>
        <w:tc>
          <w:tcPr>
            <w:tcW w:w="3264" w:type="dxa"/>
            <w:gridSpan w:val="6"/>
            <w:shd w:val="clear" w:color="auto" w:fill="auto"/>
          </w:tcPr>
          <w:p w14:paraId="26DF8FAF" w14:textId="36E97B2B" w:rsidR="00F01E2F" w:rsidRPr="0095120B" w:rsidRDefault="005E3E4F" w:rsidP="004663A3">
            <w:pPr>
              <w:spacing w:line="240" w:lineRule="auto"/>
              <w:rPr>
                <w:rFonts w:ascii="Times New Roman" w:hAnsi="Times New Roman"/>
                <w:spacing w:val="-2"/>
              </w:rPr>
            </w:pPr>
            <w:r>
              <w:rPr>
                <w:rFonts w:ascii="Times New Roman" w:hAnsi="Times New Roman"/>
                <w:spacing w:val="-2"/>
              </w:rPr>
              <w:t>r</w:t>
            </w:r>
            <w:r w:rsidR="00826CC6" w:rsidRPr="0095120B">
              <w:rPr>
                <w:rFonts w:ascii="Times New Roman" w:hAnsi="Times New Roman"/>
                <w:spacing w:val="-2"/>
              </w:rPr>
              <w:t>ozbudowa istniejących systemów informatycznych SOID</w:t>
            </w:r>
            <w:r w:rsidR="0022778F" w:rsidRPr="0095120B">
              <w:rPr>
                <w:rFonts w:ascii="Times New Roman" w:hAnsi="Times New Roman"/>
                <w:spacing w:val="-2"/>
              </w:rPr>
              <w:t xml:space="preserve"> (System Obsługi Importu Docelowego)</w:t>
            </w:r>
            <w:r w:rsidR="00826CC6" w:rsidRPr="0095120B">
              <w:rPr>
                <w:rFonts w:ascii="Times New Roman" w:hAnsi="Times New Roman"/>
                <w:spacing w:val="-2"/>
              </w:rPr>
              <w:t>, SOLR</w:t>
            </w:r>
            <w:r w:rsidR="0022778F" w:rsidRPr="0095120B">
              <w:rPr>
                <w:rFonts w:ascii="Times New Roman" w:hAnsi="Times New Roman"/>
                <w:spacing w:val="-2"/>
              </w:rPr>
              <w:t xml:space="preserve"> (system Obsługi List Refundacyjnych)</w:t>
            </w:r>
            <w:r w:rsidR="00826CC6" w:rsidRPr="0095120B">
              <w:rPr>
                <w:rFonts w:ascii="Times New Roman" w:hAnsi="Times New Roman"/>
                <w:spacing w:val="-2"/>
              </w:rPr>
              <w:t xml:space="preserve"> oraz zbudowanie SWDPL</w:t>
            </w:r>
            <w:r w:rsidR="00697536" w:rsidRPr="0095120B">
              <w:rPr>
                <w:rFonts w:ascii="Times New Roman" w:hAnsi="Times New Roman"/>
                <w:spacing w:val="-2"/>
              </w:rPr>
              <w:t xml:space="preserve"> (System Wspomagania Decyzji Polityki Lekowej)</w:t>
            </w:r>
          </w:p>
        </w:tc>
      </w:tr>
      <w:tr w:rsidR="0095120B" w:rsidRPr="0095120B" w14:paraId="7958C473" w14:textId="77777777" w:rsidTr="00E57605">
        <w:trPr>
          <w:trHeight w:val="142"/>
        </w:trPr>
        <w:tc>
          <w:tcPr>
            <w:tcW w:w="2368" w:type="dxa"/>
            <w:gridSpan w:val="4"/>
            <w:shd w:val="clear" w:color="auto" w:fill="auto"/>
          </w:tcPr>
          <w:p w14:paraId="7809B875" w14:textId="62D91644" w:rsidR="007A5557" w:rsidRPr="0095120B" w:rsidRDefault="00DE6C01" w:rsidP="004663A3">
            <w:pPr>
              <w:tabs>
                <w:tab w:val="left" w:pos="1560"/>
              </w:tabs>
              <w:spacing w:line="240" w:lineRule="auto"/>
              <w:rPr>
                <w:rFonts w:ascii="Times New Roman" w:hAnsi="Times New Roman"/>
              </w:rPr>
            </w:pPr>
            <w:r w:rsidRPr="0095120B">
              <w:rPr>
                <w:rFonts w:ascii="Times New Roman" w:hAnsi="Times New Roman"/>
              </w:rPr>
              <w:t>NFZ</w:t>
            </w:r>
          </w:p>
        </w:tc>
        <w:tc>
          <w:tcPr>
            <w:tcW w:w="2093" w:type="dxa"/>
            <w:gridSpan w:val="7"/>
            <w:shd w:val="clear" w:color="auto" w:fill="auto"/>
          </w:tcPr>
          <w:p w14:paraId="27F66594" w14:textId="77777777" w:rsidR="007A5557" w:rsidRPr="0095120B" w:rsidRDefault="007A5557" w:rsidP="004663A3">
            <w:pPr>
              <w:spacing w:line="240" w:lineRule="auto"/>
              <w:rPr>
                <w:rFonts w:ascii="Times New Roman" w:hAnsi="Times New Roman"/>
                <w:spacing w:val="-2"/>
              </w:rPr>
            </w:pPr>
            <w:r w:rsidRPr="0095120B">
              <w:rPr>
                <w:rFonts w:ascii="Times New Roman" w:hAnsi="Times New Roman"/>
                <w:spacing w:val="-2"/>
              </w:rPr>
              <w:t>1</w:t>
            </w:r>
          </w:p>
        </w:tc>
        <w:tc>
          <w:tcPr>
            <w:tcW w:w="3078" w:type="dxa"/>
            <w:gridSpan w:val="10"/>
            <w:shd w:val="clear" w:color="auto" w:fill="auto"/>
          </w:tcPr>
          <w:p w14:paraId="32A3A905" w14:textId="6A0045E5" w:rsidR="007A5557" w:rsidRPr="0095120B" w:rsidRDefault="00814749" w:rsidP="004663A3">
            <w:pPr>
              <w:spacing w:line="240" w:lineRule="auto"/>
              <w:rPr>
                <w:rFonts w:ascii="Times New Roman" w:hAnsi="Times New Roman"/>
                <w:spacing w:val="-2"/>
              </w:rPr>
            </w:pPr>
            <w:r w:rsidRPr="0095120B">
              <w:rPr>
                <w:rFonts w:ascii="Times New Roman" w:hAnsi="Times New Roman"/>
                <w:spacing w:val="-2"/>
              </w:rPr>
              <w:t>u</w:t>
            </w:r>
            <w:r w:rsidR="007A5557" w:rsidRPr="0095120B">
              <w:rPr>
                <w:rFonts w:ascii="Times New Roman" w:hAnsi="Times New Roman"/>
                <w:spacing w:val="-2"/>
              </w:rPr>
              <w:t>stawa z dnia 27 sierpnia 2004 r. o świadczeniach opieki zdrowotnej finansowanych ze środków publicznych</w:t>
            </w:r>
          </w:p>
        </w:tc>
        <w:tc>
          <w:tcPr>
            <w:tcW w:w="3264" w:type="dxa"/>
            <w:gridSpan w:val="6"/>
            <w:shd w:val="clear" w:color="auto" w:fill="auto"/>
          </w:tcPr>
          <w:p w14:paraId="2119E451" w14:textId="656C255B" w:rsidR="007A5557" w:rsidRPr="0095120B" w:rsidRDefault="005E3E4F" w:rsidP="004663A3">
            <w:pPr>
              <w:spacing w:line="240" w:lineRule="auto"/>
              <w:rPr>
                <w:rFonts w:ascii="Times New Roman" w:hAnsi="Times New Roman"/>
                <w:spacing w:val="-2"/>
              </w:rPr>
            </w:pPr>
            <w:r>
              <w:rPr>
                <w:rFonts w:ascii="Times New Roman" w:hAnsi="Times New Roman"/>
                <w:spacing w:val="-2"/>
              </w:rPr>
              <w:t>r</w:t>
            </w:r>
            <w:r w:rsidR="00826CC6" w:rsidRPr="0095120B">
              <w:rPr>
                <w:rFonts w:ascii="Times New Roman" w:hAnsi="Times New Roman"/>
                <w:spacing w:val="-2"/>
              </w:rPr>
              <w:t xml:space="preserve">ozliczanie świadczeń związanych z wprowadzeniem </w:t>
            </w:r>
            <w:r w:rsidR="004924D6" w:rsidRPr="0095120B">
              <w:rPr>
                <w:rFonts w:ascii="Times New Roman" w:hAnsi="Times New Roman"/>
                <w:spacing w:val="-2"/>
              </w:rPr>
              <w:t>czwartej</w:t>
            </w:r>
            <w:r w:rsidR="00826CC6" w:rsidRPr="0095120B">
              <w:rPr>
                <w:rFonts w:ascii="Times New Roman" w:hAnsi="Times New Roman"/>
                <w:spacing w:val="-2"/>
              </w:rPr>
              <w:t xml:space="preserve"> kategorii dostępności refundacyjnej</w:t>
            </w:r>
          </w:p>
        </w:tc>
      </w:tr>
      <w:tr w:rsidR="0095120B" w:rsidRPr="0095120B" w14:paraId="157EFFE7" w14:textId="77777777" w:rsidTr="00E57605">
        <w:trPr>
          <w:trHeight w:val="142"/>
        </w:trPr>
        <w:tc>
          <w:tcPr>
            <w:tcW w:w="2368" w:type="dxa"/>
            <w:gridSpan w:val="4"/>
            <w:shd w:val="clear" w:color="auto" w:fill="auto"/>
          </w:tcPr>
          <w:p w14:paraId="5D75657D" w14:textId="52481A77" w:rsidR="007A5557" w:rsidRPr="0095120B" w:rsidRDefault="007A5557" w:rsidP="004663A3">
            <w:pPr>
              <w:tabs>
                <w:tab w:val="left" w:pos="1560"/>
              </w:tabs>
              <w:spacing w:line="240" w:lineRule="auto"/>
              <w:rPr>
                <w:rFonts w:ascii="Times New Roman" w:hAnsi="Times New Roman"/>
              </w:rPr>
            </w:pPr>
            <w:r w:rsidRPr="0095120B">
              <w:rPr>
                <w:rFonts w:ascii="Times New Roman" w:hAnsi="Times New Roman"/>
              </w:rPr>
              <w:t xml:space="preserve">konsultanci </w:t>
            </w:r>
            <w:r w:rsidR="00EA335C">
              <w:rPr>
                <w:rFonts w:ascii="Times New Roman" w:hAnsi="Times New Roman"/>
              </w:rPr>
              <w:t xml:space="preserve">wojewódzcy i krajowi </w:t>
            </w:r>
            <w:r w:rsidR="000E7A2B" w:rsidRPr="0095120B">
              <w:rPr>
                <w:rFonts w:ascii="Times New Roman" w:hAnsi="Times New Roman"/>
              </w:rPr>
              <w:t>w ochronie zdrowia</w:t>
            </w:r>
          </w:p>
        </w:tc>
        <w:tc>
          <w:tcPr>
            <w:tcW w:w="2093" w:type="dxa"/>
            <w:gridSpan w:val="7"/>
            <w:shd w:val="clear" w:color="auto" w:fill="auto"/>
          </w:tcPr>
          <w:p w14:paraId="7BC35408" w14:textId="60CE1602" w:rsidR="007A5557" w:rsidRPr="0095120B" w:rsidRDefault="007A5557" w:rsidP="004663A3">
            <w:pPr>
              <w:spacing w:line="240" w:lineRule="auto"/>
              <w:rPr>
                <w:rFonts w:ascii="Times New Roman" w:hAnsi="Times New Roman"/>
                <w:spacing w:val="-2"/>
              </w:rPr>
            </w:pPr>
            <w:r w:rsidRPr="0095120B">
              <w:rPr>
                <w:rFonts w:ascii="Times New Roman" w:hAnsi="Times New Roman"/>
              </w:rPr>
              <w:t xml:space="preserve">ok. </w:t>
            </w:r>
            <w:r w:rsidR="00C67763">
              <w:rPr>
                <w:rFonts w:ascii="Times New Roman" w:hAnsi="Times New Roman"/>
              </w:rPr>
              <w:t>1953</w:t>
            </w:r>
          </w:p>
        </w:tc>
        <w:tc>
          <w:tcPr>
            <w:tcW w:w="3078" w:type="dxa"/>
            <w:gridSpan w:val="10"/>
            <w:shd w:val="clear" w:color="auto" w:fill="auto"/>
          </w:tcPr>
          <w:p w14:paraId="0F7BBF21" w14:textId="6706EA8E" w:rsidR="007A5557" w:rsidRPr="0095120B" w:rsidRDefault="00814749" w:rsidP="004663A3">
            <w:pPr>
              <w:spacing w:line="240" w:lineRule="auto"/>
              <w:rPr>
                <w:rFonts w:ascii="Times New Roman" w:hAnsi="Times New Roman"/>
                <w:spacing w:val="-2"/>
              </w:rPr>
            </w:pPr>
            <w:r w:rsidRPr="0095120B">
              <w:rPr>
                <w:rFonts w:ascii="Times New Roman" w:hAnsi="Times New Roman"/>
              </w:rPr>
              <w:t>r</w:t>
            </w:r>
            <w:r w:rsidR="007A5557" w:rsidRPr="0095120B">
              <w:rPr>
                <w:rFonts w:ascii="Times New Roman" w:hAnsi="Times New Roman"/>
              </w:rPr>
              <w:t>ejestry medyczne</w:t>
            </w:r>
          </w:p>
        </w:tc>
        <w:tc>
          <w:tcPr>
            <w:tcW w:w="3264" w:type="dxa"/>
            <w:gridSpan w:val="6"/>
            <w:shd w:val="clear" w:color="auto" w:fill="auto"/>
          </w:tcPr>
          <w:p w14:paraId="19601129" w14:textId="09CE8DF0" w:rsidR="007A5557" w:rsidRPr="006D7335" w:rsidRDefault="005E3E4F" w:rsidP="004663A3">
            <w:pPr>
              <w:spacing w:line="240" w:lineRule="auto"/>
              <w:rPr>
                <w:rFonts w:ascii="Times New Roman" w:hAnsi="Times New Roman"/>
              </w:rPr>
            </w:pPr>
            <w:r>
              <w:rPr>
                <w:rFonts w:ascii="Times New Roman" w:hAnsi="Times New Roman"/>
              </w:rPr>
              <w:t>o</w:t>
            </w:r>
            <w:r w:rsidR="006245D8">
              <w:rPr>
                <w:rFonts w:ascii="Times New Roman" w:hAnsi="Times New Roman"/>
              </w:rPr>
              <w:t>piniowanie opisów programów lekowych tworzonych przez Ministra Zdrowia. Wykonanie zadań zespołów koordynacyjnych w ramach wczesnego dostępu do terapii</w:t>
            </w:r>
          </w:p>
        </w:tc>
      </w:tr>
      <w:tr w:rsidR="0095120B" w:rsidRPr="0095120B" w14:paraId="2C4E9DEF" w14:textId="77777777" w:rsidTr="00E57605">
        <w:trPr>
          <w:trHeight w:val="142"/>
        </w:trPr>
        <w:tc>
          <w:tcPr>
            <w:tcW w:w="2368" w:type="dxa"/>
            <w:gridSpan w:val="4"/>
            <w:shd w:val="clear" w:color="auto" w:fill="auto"/>
          </w:tcPr>
          <w:p w14:paraId="442C08A0" w14:textId="77777777" w:rsidR="007A5557" w:rsidRPr="0095120B" w:rsidRDefault="007A5557" w:rsidP="004663A3">
            <w:pPr>
              <w:tabs>
                <w:tab w:val="left" w:pos="1560"/>
              </w:tabs>
              <w:spacing w:line="240" w:lineRule="auto"/>
              <w:rPr>
                <w:rFonts w:ascii="Times New Roman" w:hAnsi="Times New Roman"/>
              </w:rPr>
            </w:pPr>
            <w:r w:rsidRPr="0095120B">
              <w:rPr>
                <w:rFonts w:ascii="Times New Roman" w:hAnsi="Times New Roman"/>
              </w:rPr>
              <w:t>wnioskodawcy</w:t>
            </w:r>
          </w:p>
        </w:tc>
        <w:tc>
          <w:tcPr>
            <w:tcW w:w="2093" w:type="dxa"/>
            <w:gridSpan w:val="7"/>
            <w:shd w:val="clear" w:color="auto" w:fill="auto"/>
          </w:tcPr>
          <w:p w14:paraId="6853B571" w14:textId="77777777" w:rsidR="007A5557" w:rsidRPr="0095120B" w:rsidRDefault="007A5557" w:rsidP="004663A3">
            <w:pPr>
              <w:spacing w:line="240" w:lineRule="auto"/>
              <w:rPr>
                <w:rFonts w:ascii="Times New Roman" w:hAnsi="Times New Roman"/>
                <w:spacing w:val="-2"/>
              </w:rPr>
            </w:pPr>
            <w:r w:rsidRPr="0095120B">
              <w:rPr>
                <w:rFonts w:ascii="Times New Roman" w:hAnsi="Times New Roman"/>
                <w:spacing w:val="-2"/>
              </w:rPr>
              <w:t>ok. 260</w:t>
            </w:r>
          </w:p>
        </w:tc>
        <w:tc>
          <w:tcPr>
            <w:tcW w:w="3078" w:type="dxa"/>
            <w:gridSpan w:val="10"/>
            <w:shd w:val="clear" w:color="auto" w:fill="auto"/>
          </w:tcPr>
          <w:p w14:paraId="6E64AFA7" w14:textId="77777777" w:rsidR="007A5557" w:rsidRPr="0095120B" w:rsidRDefault="007A5557" w:rsidP="004663A3">
            <w:pPr>
              <w:spacing w:line="240" w:lineRule="auto"/>
              <w:rPr>
                <w:rFonts w:ascii="Times New Roman" w:hAnsi="Times New Roman"/>
                <w:spacing w:val="-2"/>
              </w:rPr>
            </w:pPr>
            <w:r w:rsidRPr="0095120B">
              <w:rPr>
                <w:rFonts w:ascii="Times New Roman" w:hAnsi="Times New Roman"/>
                <w:spacing w:val="-2"/>
              </w:rPr>
              <w:t>Ministerstwo Zdrowia</w:t>
            </w:r>
          </w:p>
        </w:tc>
        <w:tc>
          <w:tcPr>
            <w:tcW w:w="3264" w:type="dxa"/>
            <w:gridSpan w:val="6"/>
            <w:shd w:val="clear" w:color="auto" w:fill="auto"/>
          </w:tcPr>
          <w:p w14:paraId="0F5F7A3E" w14:textId="77777777" w:rsidR="005E3E4F" w:rsidRDefault="005E3E4F" w:rsidP="004663A3">
            <w:pPr>
              <w:spacing w:line="240" w:lineRule="auto"/>
              <w:rPr>
                <w:rFonts w:ascii="Times New Roman" w:hAnsi="Times New Roman"/>
                <w:spacing w:val="-2"/>
              </w:rPr>
            </w:pPr>
            <w:r>
              <w:rPr>
                <w:rFonts w:ascii="Times New Roman" w:hAnsi="Times New Roman"/>
                <w:spacing w:val="-2"/>
              </w:rPr>
              <w:t>z</w:t>
            </w:r>
            <w:r w:rsidR="007A5557" w:rsidRPr="0095120B">
              <w:rPr>
                <w:rFonts w:ascii="Times New Roman" w:hAnsi="Times New Roman"/>
                <w:spacing w:val="-2"/>
              </w:rPr>
              <w:t>miana przepisów dotyczących prowadzenia postępowania refundacyjnego, jak i zakresu analiz niezbędnych do przedstawienia przy składaniu wniosku refunda</w:t>
            </w:r>
            <w:r w:rsidR="0095120B" w:rsidRPr="0095120B">
              <w:rPr>
                <w:rFonts w:ascii="Times New Roman" w:hAnsi="Times New Roman"/>
                <w:spacing w:val="-2"/>
              </w:rPr>
              <w:t>cyjnego</w:t>
            </w:r>
            <w:r>
              <w:rPr>
                <w:rFonts w:ascii="Times New Roman" w:hAnsi="Times New Roman"/>
                <w:spacing w:val="-2"/>
              </w:rPr>
              <w:t>;</w:t>
            </w:r>
          </w:p>
          <w:p w14:paraId="27B38052" w14:textId="4BE9349C" w:rsidR="00DB5C68" w:rsidRPr="0095120B" w:rsidRDefault="005E3E4F" w:rsidP="004663A3">
            <w:pPr>
              <w:spacing w:line="240" w:lineRule="auto"/>
              <w:rPr>
                <w:rFonts w:ascii="Times New Roman" w:hAnsi="Times New Roman"/>
                <w:spacing w:val="-2"/>
              </w:rPr>
            </w:pPr>
            <w:r>
              <w:rPr>
                <w:rFonts w:ascii="Times New Roman" w:hAnsi="Times New Roman"/>
                <w:spacing w:val="-2"/>
              </w:rPr>
              <w:t>u</w:t>
            </w:r>
            <w:r w:rsidR="00DB5C68" w:rsidRPr="0095120B">
              <w:rPr>
                <w:rFonts w:ascii="Times New Roman" w:hAnsi="Times New Roman"/>
                <w:spacing w:val="-2"/>
              </w:rPr>
              <w:t>możliwienie przenoszenia praw i</w:t>
            </w:r>
            <w:r w:rsidR="0095120B" w:rsidRPr="0095120B">
              <w:rPr>
                <w:rFonts w:ascii="Times New Roman" w:hAnsi="Times New Roman"/>
                <w:spacing w:val="-2"/>
              </w:rPr>
              <w:t> </w:t>
            </w:r>
            <w:r w:rsidR="00DB5C68" w:rsidRPr="0095120B">
              <w:rPr>
                <w:rFonts w:ascii="Times New Roman" w:hAnsi="Times New Roman"/>
                <w:spacing w:val="-2"/>
              </w:rPr>
              <w:t>obowiązków wynikających z</w:t>
            </w:r>
            <w:r w:rsidR="0095120B" w:rsidRPr="0095120B">
              <w:rPr>
                <w:rFonts w:ascii="Times New Roman" w:hAnsi="Times New Roman"/>
                <w:spacing w:val="-2"/>
              </w:rPr>
              <w:t> </w:t>
            </w:r>
            <w:r w:rsidR="00DB5C68" w:rsidRPr="0095120B">
              <w:rPr>
                <w:rFonts w:ascii="Times New Roman" w:hAnsi="Times New Roman"/>
                <w:spacing w:val="-2"/>
              </w:rPr>
              <w:t xml:space="preserve">decyzji </w:t>
            </w:r>
            <w:r w:rsidR="0095120B" w:rsidRPr="0095120B">
              <w:rPr>
                <w:rFonts w:ascii="Times New Roman" w:hAnsi="Times New Roman"/>
                <w:spacing w:val="-2"/>
              </w:rPr>
              <w:t>refundacyjnej</w:t>
            </w:r>
            <w:r w:rsidR="00DB5C68" w:rsidRPr="0095120B">
              <w:rPr>
                <w:rFonts w:ascii="Times New Roman" w:hAnsi="Times New Roman"/>
                <w:spacing w:val="-2"/>
              </w:rPr>
              <w:t xml:space="preserve"> na inny podmiot</w:t>
            </w:r>
          </w:p>
        </w:tc>
      </w:tr>
      <w:tr w:rsidR="0095120B" w:rsidRPr="0095120B" w14:paraId="28EFC73B" w14:textId="77777777" w:rsidTr="00E57605">
        <w:trPr>
          <w:trHeight w:val="142"/>
        </w:trPr>
        <w:tc>
          <w:tcPr>
            <w:tcW w:w="2368" w:type="dxa"/>
            <w:gridSpan w:val="4"/>
            <w:shd w:val="clear" w:color="auto" w:fill="auto"/>
          </w:tcPr>
          <w:p w14:paraId="5F0DB2FD" w14:textId="77777777" w:rsidR="007A5557" w:rsidRPr="0095120B" w:rsidRDefault="007A5557" w:rsidP="004663A3">
            <w:pPr>
              <w:tabs>
                <w:tab w:val="left" w:pos="1560"/>
              </w:tabs>
              <w:spacing w:line="240" w:lineRule="auto"/>
              <w:rPr>
                <w:rFonts w:ascii="Times New Roman" w:hAnsi="Times New Roman"/>
              </w:rPr>
            </w:pPr>
            <w:r w:rsidRPr="0095120B">
              <w:rPr>
                <w:rFonts w:ascii="Times New Roman" w:hAnsi="Times New Roman"/>
              </w:rPr>
              <w:t>hurtownie farmaceutyczne</w:t>
            </w:r>
          </w:p>
        </w:tc>
        <w:tc>
          <w:tcPr>
            <w:tcW w:w="2093" w:type="dxa"/>
            <w:gridSpan w:val="7"/>
            <w:shd w:val="clear" w:color="auto" w:fill="auto"/>
          </w:tcPr>
          <w:p w14:paraId="2B987398" w14:textId="77777777" w:rsidR="007A5557" w:rsidRPr="0095120B" w:rsidRDefault="007A5557" w:rsidP="004663A3">
            <w:pPr>
              <w:spacing w:line="240" w:lineRule="auto"/>
              <w:rPr>
                <w:rFonts w:ascii="Times New Roman" w:hAnsi="Times New Roman"/>
                <w:spacing w:val="-2"/>
              </w:rPr>
            </w:pPr>
            <w:r w:rsidRPr="0095120B">
              <w:rPr>
                <w:rFonts w:ascii="Times New Roman" w:hAnsi="Times New Roman"/>
                <w:spacing w:val="-2"/>
              </w:rPr>
              <w:t>460</w:t>
            </w:r>
          </w:p>
        </w:tc>
        <w:tc>
          <w:tcPr>
            <w:tcW w:w="3078" w:type="dxa"/>
            <w:gridSpan w:val="10"/>
            <w:shd w:val="clear" w:color="auto" w:fill="auto"/>
          </w:tcPr>
          <w:p w14:paraId="12976656" w14:textId="48C9DFB7" w:rsidR="007A5557" w:rsidRPr="0095120B" w:rsidRDefault="00814749" w:rsidP="004663A3">
            <w:pPr>
              <w:spacing w:line="240" w:lineRule="auto"/>
              <w:rPr>
                <w:rFonts w:ascii="Times New Roman" w:hAnsi="Times New Roman"/>
                <w:spacing w:val="-2"/>
              </w:rPr>
            </w:pPr>
            <w:r w:rsidRPr="0095120B">
              <w:rPr>
                <w:rFonts w:ascii="Times New Roman" w:hAnsi="Times New Roman"/>
                <w:spacing w:val="-2"/>
              </w:rPr>
              <w:t>r</w:t>
            </w:r>
            <w:r w:rsidR="007A5557" w:rsidRPr="0095120B">
              <w:rPr>
                <w:rFonts w:ascii="Times New Roman" w:hAnsi="Times New Roman"/>
                <w:spacing w:val="-2"/>
              </w:rPr>
              <w:t>ejestry medyczne</w:t>
            </w:r>
          </w:p>
        </w:tc>
        <w:tc>
          <w:tcPr>
            <w:tcW w:w="3264" w:type="dxa"/>
            <w:gridSpan w:val="6"/>
            <w:shd w:val="clear" w:color="auto" w:fill="auto"/>
          </w:tcPr>
          <w:p w14:paraId="553DBC18" w14:textId="410B6A8E" w:rsidR="007A5557" w:rsidRPr="0095120B" w:rsidRDefault="005E3E4F" w:rsidP="004663A3">
            <w:pPr>
              <w:spacing w:line="240" w:lineRule="auto"/>
              <w:rPr>
                <w:rFonts w:ascii="Times New Roman" w:hAnsi="Times New Roman"/>
                <w:spacing w:val="-2"/>
              </w:rPr>
            </w:pPr>
            <w:r>
              <w:rPr>
                <w:rFonts w:ascii="Times New Roman" w:hAnsi="Times New Roman"/>
                <w:spacing w:val="-2"/>
              </w:rPr>
              <w:t>n</w:t>
            </w:r>
            <w:r w:rsidR="007A5557" w:rsidRPr="0095120B">
              <w:rPr>
                <w:rFonts w:ascii="Times New Roman" w:hAnsi="Times New Roman"/>
                <w:spacing w:val="-2"/>
              </w:rPr>
              <w:t>owe zasady ustalania i wysokość marży</w:t>
            </w:r>
            <w:r w:rsidR="00EF5346">
              <w:rPr>
                <w:rFonts w:ascii="Times New Roman" w:hAnsi="Times New Roman"/>
                <w:spacing w:val="-2"/>
              </w:rPr>
              <w:t xml:space="preserve"> hurtowej</w:t>
            </w:r>
            <w:r>
              <w:rPr>
                <w:rFonts w:ascii="Times New Roman" w:hAnsi="Times New Roman"/>
                <w:spacing w:val="-2"/>
              </w:rPr>
              <w:t>;</w:t>
            </w:r>
          </w:p>
          <w:p w14:paraId="402E55B8" w14:textId="77777777" w:rsidR="005E3E4F" w:rsidRDefault="005E3E4F" w:rsidP="004663A3">
            <w:pPr>
              <w:spacing w:line="240" w:lineRule="auto"/>
              <w:rPr>
                <w:rFonts w:ascii="Times New Roman" w:hAnsi="Times New Roman"/>
                <w:spacing w:val="-2"/>
              </w:rPr>
            </w:pPr>
            <w:r>
              <w:rPr>
                <w:rFonts w:ascii="Times New Roman" w:hAnsi="Times New Roman"/>
                <w:spacing w:val="-2"/>
              </w:rPr>
              <w:t>p</w:t>
            </w:r>
            <w:r w:rsidR="00DB5C68" w:rsidRPr="0095120B">
              <w:rPr>
                <w:rFonts w:ascii="Times New Roman" w:hAnsi="Times New Roman"/>
                <w:spacing w:val="-2"/>
              </w:rPr>
              <w:t>obranie zapotrzebowania do</w:t>
            </w:r>
            <w:r w:rsidR="0095120B" w:rsidRPr="0095120B">
              <w:rPr>
                <w:rFonts w:ascii="Times New Roman" w:hAnsi="Times New Roman"/>
                <w:spacing w:val="-2"/>
              </w:rPr>
              <w:t> </w:t>
            </w:r>
            <w:r w:rsidR="00DB5C68" w:rsidRPr="0095120B">
              <w:rPr>
                <w:rFonts w:ascii="Times New Roman" w:hAnsi="Times New Roman"/>
                <w:spacing w:val="-2"/>
              </w:rPr>
              <w:t>realizacji wprowadza blokadę możliwości pobrania zapotrzebowania do realizacji przez więcej niż jedną hurtownię farmaceutyczną</w:t>
            </w:r>
            <w:r>
              <w:rPr>
                <w:rFonts w:ascii="Times New Roman" w:hAnsi="Times New Roman"/>
                <w:spacing w:val="-2"/>
              </w:rPr>
              <w:t>;</w:t>
            </w:r>
          </w:p>
          <w:p w14:paraId="3C65D02B" w14:textId="7A14A5DE" w:rsidR="007A5557" w:rsidRPr="0095120B" w:rsidRDefault="005E3E4F" w:rsidP="004663A3">
            <w:pPr>
              <w:spacing w:line="240" w:lineRule="auto"/>
              <w:rPr>
                <w:rFonts w:ascii="Times New Roman" w:hAnsi="Times New Roman"/>
                <w:spacing w:val="-2"/>
              </w:rPr>
            </w:pPr>
            <w:r>
              <w:rPr>
                <w:rFonts w:ascii="Times New Roman" w:hAnsi="Times New Roman"/>
                <w:spacing w:val="-2"/>
              </w:rPr>
              <w:t>u</w:t>
            </w:r>
            <w:r w:rsidR="00DB5C68" w:rsidRPr="0095120B">
              <w:rPr>
                <w:rFonts w:ascii="Times New Roman" w:hAnsi="Times New Roman"/>
                <w:spacing w:val="-2"/>
              </w:rPr>
              <w:t>niemożliwienie nadużyć polegających na kilkukrotnym posłużeniu się tym samym zapotrzebowaniem</w:t>
            </w:r>
          </w:p>
        </w:tc>
      </w:tr>
      <w:tr w:rsidR="0095120B" w:rsidRPr="0095120B" w14:paraId="2CEE3896" w14:textId="77777777" w:rsidTr="00E57605">
        <w:trPr>
          <w:trHeight w:val="1247"/>
        </w:trPr>
        <w:tc>
          <w:tcPr>
            <w:tcW w:w="2368" w:type="dxa"/>
            <w:gridSpan w:val="4"/>
            <w:shd w:val="clear" w:color="auto" w:fill="auto"/>
          </w:tcPr>
          <w:p w14:paraId="3D88A5EB" w14:textId="03983EE9" w:rsidR="00DB5C68" w:rsidRPr="0095120B" w:rsidRDefault="00814749" w:rsidP="004663A3">
            <w:pPr>
              <w:spacing w:before="60" w:after="60" w:line="240" w:lineRule="auto"/>
              <w:rPr>
                <w:rFonts w:ascii="Times New Roman" w:hAnsi="Times New Roman"/>
              </w:rPr>
            </w:pPr>
            <w:r w:rsidRPr="0095120B">
              <w:rPr>
                <w:rFonts w:ascii="Times New Roman" w:hAnsi="Times New Roman"/>
              </w:rPr>
              <w:t>a</w:t>
            </w:r>
            <w:r w:rsidR="00DB5C68" w:rsidRPr="0095120B">
              <w:rPr>
                <w:rFonts w:ascii="Times New Roman" w:hAnsi="Times New Roman"/>
              </w:rPr>
              <w:t>pteki i punkty apteczne</w:t>
            </w:r>
          </w:p>
          <w:p w14:paraId="11BAF276" w14:textId="7A237692" w:rsidR="005E2347" w:rsidRPr="0095120B" w:rsidRDefault="005E2347" w:rsidP="005E2347">
            <w:pPr>
              <w:rPr>
                <w:rFonts w:ascii="Times New Roman" w:hAnsi="Times New Roman"/>
              </w:rPr>
            </w:pPr>
          </w:p>
        </w:tc>
        <w:tc>
          <w:tcPr>
            <w:tcW w:w="2093" w:type="dxa"/>
            <w:gridSpan w:val="7"/>
            <w:shd w:val="clear" w:color="auto" w:fill="auto"/>
          </w:tcPr>
          <w:p w14:paraId="4ADA95AC" w14:textId="77777777" w:rsidR="00DB5C68" w:rsidRPr="0095120B" w:rsidRDefault="00DB5C68" w:rsidP="004663A3">
            <w:pPr>
              <w:spacing w:line="240" w:lineRule="auto"/>
              <w:rPr>
                <w:rFonts w:ascii="Times New Roman" w:hAnsi="Times New Roman"/>
              </w:rPr>
            </w:pPr>
            <w:r w:rsidRPr="0095120B">
              <w:rPr>
                <w:rFonts w:ascii="Times New Roman" w:hAnsi="Times New Roman"/>
              </w:rPr>
              <w:t>ok. 13,3 tys. aktywnych podmiotów</w:t>
            </w:r>
          </w:p>
          <w:p w14:paraId="4BF44C0B" w14:textId="67B08B61" w:rsidR="005E2347" w:rsidRPr="0095120B" w:rsidRDefault="005E2347" w:rsidP="005E2347">
            <w:pPr>
              <w:rPr>
                <w:rFonts w:ascii="Times New Roman" w:hAnsi="Times New Roman"/>
              </w:rPr>
            </w:pPr>
          </w:p>
        </w:tc>
        <w:tc>
          <w:tcPr>
            <w:tcW w:w="3078" w:type="dxa"/>
            <w:gridSpan w:val="10"/>
            <w:shd w:val="clear" w:color="auto" w:fill="auto"/>
          </w:tcPr>
          <w:p w14:paraId="7B9A57CB" w14:textId="77777777" w:rsidR="00DB5C68" w:rsidRPr="0095120B" w:rsidRDefault="00DB5C68" w:rsidP="004663A3">
            <w:pPr>
              <w:spacing w:before="60" w:after="60" w:line="240" w:lineRule="auto"/>
              <w:rPr>
                <w:rFonts w:ascii="Times New Roman" w:hAnsi="Times New Roman"/>
              </w:rPr>
            </w:pPr>
            <w:r w:rsidRPr="0095120B">
              <w:rPr>
                <w:rFonts w:ascii="Times New Roman" w:hAnsi="Times New Roman"/>
              </w:rPr>
              <w:t>Rejestr Aptek</w:t>
            </w:r>
          </w:p>
          <w:p w14:paraId="76161E28" w14:textId="4F3ECCAF" w:rsidR="005E2347" w:rsidRPr="0095120B" w:rsidRDefault="00DB5C68" w:rsidP="005E2347">
            <w:pPr>
              <w:spacing w:line="240" w:lineRule="auto"/>
              <w:rPr>
                <w:rFonts w:ascii="Times New Roman" w:hAnsi="Times New Roman"/>
              </w:rPr>
            </w:pPr>
            <w:r w:rsidRPr="0095120B">
              <w:rPr>
                <w:rFonts w:ascii="Times New Roman" w:hAnsi="Times New Roman"/>
              </w:rPr>
              <w:t>https://rejestrymedyczne.ezdrowie.gov.pl/ra/search/public</w:t>
            </w:r>
          </w:p>
        </w:tc>
        <w:tc>
          <w:tcPr>
            <w:tcW w:w="3264" w:type="dxa"/>
            <w:gridSpan w:val="6"/>
            <w:shd w:val="clear" w:color="auto" w:fill="auto"/>
          </w:tcPr>
          <w:p w14:paraId="498FCE68" w14:textId="788BDA3B" w:rsidR="005E2347" w:rsidRPr="0095120B" w:rsidRDefault="005E3E4F" w:rsidP="005E2347">
            <w:pPr>
              <w:spacing w:line="240" w:lineRule="auto"/>
              <w:rPr>
                <w:rFonts w:ascii="Times New Roman" w:hAnsi="Times New Roman"/>
              </w:rPr>
            </w:pPr>
            <w:r>
              <w:rPr>
                <w:rFonts w:ascii="Times New Roman" w:hAnsi="Times New Roman"/>
              </w:rPr>
              <w:t>o</w:t>
            </w:r>
            <w:r w:rsidR="001F444E" w:rsidRPr="001F444E">
              <w:rPr>
                <w:rFonts w:ascii="Times New Roman" w:hAnsi="Times New Roman"/>
              </w:rPr>
              <w:t xml:space="preserve">graniczenie zwrotu </w:t>
            </w:r>
            <w:r w:rsidR="001F444E" w:rsidRPr="001F444E">
              <w:rPr>
                <w:rFonts w:ascii="Times New Roman" w:hAnsi="Times New Roman"/>
                <w:bCs/>
              </w:rPr>
              <w:t xml:space="preserve">produktów </w:t>
            </w:r>
            <w:r w:rsidR="001F444E">
              <w:rPr>
                <w:rFonts w:ascii="Times New Roman" w:hAnsi="Times New Roman"/>
                <w:bCs/>
              </w:rPr>
              <w:t xml:space="preserve">refundowanych </w:t>
            </w:r>
            <w:r w:rsidR="001F444E" w:rsidRPr="001F444E">
              <w:rPr>
                <w:rFonts w:ascii="Times New Roman" w:hAnsi="Times New Roman"/>
                <w:bCs/>
              </w:rPr>
              <w:t>nabyty przez apteki</w:t>
            </w:r>
            <w:r w:rsidR="001F444E">
              <w:rPr>
                <w:rFonts w:ascii="Times New Roman" w:hAnsi="Times New Roman"/>
                <w:bCs/>
              </w:rPr>
              <w:t xml:space="preserve"> jedynie</w:t>
            </w:r>
            <w:r w:rsidR="001F444E" w:rsidRPr="001F444E">
              <w:rPr>
                <w:rFonts w:ascii="Times New Roman" w:hAnsi="Times New Roman"/>
                <w:bCs/>
              </w:rPr>
              <w:t xml:space="preserve"> do 9 miesięcy od wygaśnięcia decyzji administracyjnej o objęciu refundacją</w:t>
            </w:r>
          </w:p>
        </w:tc>
      </w:tr>
      <w:tr w:rsidR="0095120B" w:rsidRPr="0095120B" w14:paraId="18CD3EBB" w14:textId="77777777" w:rsidTr="00E57605">
        <w:trPr>
          <w:trHeight w:val="142"/>
        </w:trPr>
        <w:tc>
          <w:tcPr>
            <w:tcW w:w="2368" w:type="dxa"/>
            <w:gridSpan w:val="4"/>
            <w:shd w:val="clear" w:color="auto" w:fill="auto"/>
          </w:tcPr>
          <w:p w14:paraId="785D5EA1" w14:textId="702DD686" w:rsidR="00DB5C68" w:rsidRPr="0095120B" w:rsidRDefault="00DB5C68" w:rsidP="004663A3">
            <w:pPr>
              <w:spacing w:line="240" w:lineRule="auto"/>
              <w:rPr>
                <w:rFonts w:ascii="Times New Roman" w:hAnsi="Times New Roman"/>
              </w:rPr>
            </w:pPr>
            <w:r w:rsidRPr="0095120B">
              <w:rPr>
                <w:rFonts w:ascii="Times New Roman" w:hAnsi="Times New Roman"/>
              </w:rPr>
              <w:t xml:space="preserve">Prezes </w:t>
            </w:r>
            <w:r w:rsidR="00813DB0">
              <w:rPr>
                <w:rFonts w:ascii="Times New Roman" w:hAnsi="Times New Roman"/>
              </w:rPr>
              <w:t>AOTMiT</w:t>
            </w:r>
          </w:p>
        </w:tc>
        <w:tc>
          <w:tcPr>
            <w:tcW w:w="2093" w:type="dxa"/>
            <w:gridSpan w:val="7"/>
            <w:shd w:val="clear" w:color="auto" w:fill="auto"/>
          </w:tcPr>
          <w:p w14:paraId="310440B3" w14:textId="3D7CE72E" w:rsidR="00DB5C68" w:rsidRPr="0095120B" w:rsidRDefault="00DB5C68" w:rsidP="004663A3">
            <w:pPr>
              <w:spacing w:line="240" w:lineRule="auto"/>
              <w:jc w:val="center"/>
              <w:rPr>
                <w:rFonts w:ascii="Times New Roman" w:hAnsi="Times New Roman"/>
                <w:spacing w:val="-2"/>
              </w:rPr>
            </w:pPr>
            <w:r w:rsidRPr="0095120B">
              <w:rPr>
                <w:rFonts w:ascii="Times New Roman" w:hAnsi="Times New Roman"/>
                <w:spacing w:val="-2"/>
              </w:rPr>
              <w:t>1</w:t>
            </w:r>
          </w:p>
        </w:tc>
        <w:tc>
          <w:tcPr>
            <w:tcW w:w="3078" w:type="dxa"/>
            <w:gridSpan w:val="10"/>
            <w:shd w:val="clear" w:color="auto" w:fill="auto"/>
          </w:tcPr>
          <w:p w14:paraId="0B32D066" w14:textId="7BBD9E88" w:rsidR="00DB5C68" w:rsidRPr="0095120B" w:rsidRDefault="00DB5C68" w:rsidP="004663A3">
            <w:pPr>
              <w:spacing w:line="240" w:lineRule="auto"/>
              <w:rPr>
                <w:rFonts w:ascii="Times New Roman" w:hAnsi="Times New Roman"/>
                <w:spacing w:val="-2"/>
              </w:rPr>
            </w:pPr>
            <w:r w:rsidRPr="0095120B">
              <w:rPr>
                <w:rFonts w:ascii="Times New Roman" w:hAnsi="Times New Roman"/>
              </w:rPr>
              <w:t>ustawa z dnia 27 sierpnia 2004 r. o świadczeniach opieki zdrowotnej finansowanych ze środków publicznych</w:t>
            </w:r>
          </w:p>
        </w:tc>
        <w:tc>
          <w:tcPr>
            <w:tcW w:w="3264" w:type="dxa"/>
            <w:gridSpan w:val="6"/>
            <w:shd w:val="clear" w:color="auto" w:fill="auto"/>
          </w:tcPr>
          <w:p w14:paraId="1E6920F4" w14:textId="622BE6B2" w:rsidR="00DB5C68" w:rsidRPr="0095120B" w:rsidRDefault="00DB5C68" w:rsidP="004663A3">
            <w:pPr>
              <w:spacing w:line="240" w:lineRule="auto"/>
              <w:rPr>
                <w:rFonts w:ascii="Times New Roman" w:hAnsi="Times New Roman"/>
              </w:rPr>
            </w:pPr>
            <w:r w:rsidRPr="0095120B">
              <w:rPr>
                <w:rFonts w:ascii="Times New Roman" w:hAnsi="Times New Roman"/>
              </w:rPr>
              <w:t xml:space="preserve">skazanie terminu wydania </w:t>
            </w:r>
            <w:r w:rsidR="00EF5346">
              <w:rPr>
                <w:rFonts w:ascii="Times New Roman" w:hAnsi="Times New Roman"/>
              </w:rPr>
              <w:t xml:space="preserve">przez Prezesa </w:t>
            </w:r>
            <w:r w:rsidR="00813DB0">
              <w:rPr>
                <w:rFonts w:ascii="Times New Roman" w:hAnsi="Times New Roman"/>
              </w:rPr>
              <w:t xml:space="preserve">AOTMiT </w:t>
            </w:r>
            <w:r w:rsidRPr="0095120B">
              <w:rPr>
                <w:rFonts w:ascii="Times New Roman" w:hAnsi="Times New Roman"/>
              </w:rPr>
              <w:t xml:space="preserve">rekomendacji </w:t>
            </w:r>
            <w:r w:rsidR="00154E4A" w:rsidRPr="0095120B">
              <w:rPr>
                <w:rFonts w:ascii="Times New Roman" w:hAnsi="Times New Roman"/>
              </w:rPr>
              <w:t>w refundacji indywidualnej</w:t>
            </w:r>
            <w:r w:rsidR="005E3E4F">
              <w:rPr>
                <w:rFonts w:ascii="Times New Roman" w:hAnsi="Times New Roman"/>
              </w:rPr>
              <w:t>;</w:t>
            </w:r>
            <w:r w:rsidR="00154E4A" w:rsidRPr="0095120B">
              <w:rPr>
                <w:rFonts w:ascii="Times New Roman" w:hAnsi="Times New Roman"/>
              </w:rPr>
              <w:t xml:space="preserve"> </w:t>
            </w:r>
          </w:p>
          <w:p w14:paraId="37718377" w14:textId="761B18B0" w:rsidR="00154E4A" w:rsidRPr="0095120B" w:rsidRDefault="005E3E4F" w:rsidP="004663A3">
            <w:pPr>
              <w:spacing w:line="240" w:lineRule="auto"/>
              <w:rPr>
                <w:rFonts w:ascii="Times New Roman" w:hAnsi="Times New Roman"/>
                <w:spacing w:val="-2"/>
              </w:rPr>
            </w:pPr>
            <w:r>
              <w:rPr>
                <w:rFonts w:ascii="Times New Roman" w:hAnsi="Times New Roman"/>
              </w:rPr>
              <w:t>u</w:t>
            </w:r>
            <w:r w:rsidR="00154E4A" w:rsidRPr="0095120B">
              <w:rPr>
                <w:rFonts w:ascii="Times New Roman" w:hAnsi="Times New Roman"/>
              </w:rPr>
              <w:t>względnianie analizy wielokryterialnej w postępowaniach refundacyjnych</w:t>
            </w:r>
          </w:p>
        </w:tc>
      </w:tr>
      <w:tr w:rsidR="0095120B" w:rsidRPr="0095120B" w14:paraId="59FB7A69" w14:textId="77777777" w:rsidTr="004663A3">
        <w:trPr>
          <w:trHeight w:val="302"/>
        </w:trPr>
        <w:tc>
          <w:tcPr>
            <w:tcW w:w="10803" w:type="dxa"/>
            <w:gridSpan w:val="27"/>
            <w:shd w:val="clear" w:color="auto" w:fill="99CCFF"/>
            <w:vAlign w:val="center"/>
          </w:tcPr>
          <w:p w14:paraId="75BC75AE" w14:textId="77777777" w:rsidR="00934258" w:rsidRPr="0095120B" w:rsidRDefault="00934258" w:rsidP="00934258">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rPr>
              <w:t>Informacje na temat zakresu, czasu trwania i podsumowanie wyników konsultacji</w:t>
            </w:r>
          </w:p>
        </w:tc>
      </w:tr>
      <w:tr w:rsidR="0095120B" w:rsidRPr="0095120B" w14:paraId="065C744F" w14:textId="77777777" w:rsidTr="004663A3">
        <w:trPr>
          <w:trHeight w:val="342"/>
        </w:trPr>
        <w:tc>
          <w:tcPr>
            <w:tcW w:w="10803" w:type="dxa"/>
            <w:gridSpan w:val="27"/>
            <w:shd w:val="clear" w:color="auto" w:fill="auto"/>
          </w:tcPr>
          <w:p w14:paraId="76AF53CE" w14:textId="6515B95A" w:rsidR="0023077C" w:rsidRPr="0095120B" w:rsidRDefault="00934258" w:rsidP="004663A3">
            <w:pPr>
              <w:spacing w:line="240" w:lineRule="auto"/>
              <w:jc w:val="both"/>
              <w:rPr>
                <w:rFonts w:ascii="Times New Roman" w:hAnsi="Times New Roman"/>
                <w:lang w:bidi="pl-PL"/>
              </w:rPr>
            </w:pPr>
            <w:r w:rsidRPr="0095120B">
              <w:rPr>
                <w:rFonts w:ascii="Times New Roman" w:hAnsi="Times New Roman"/>
                <w:lang w:bidi="pl-PL"/>
              </w:rPr>
              <w:t xml:space="preserve">Projekt </w:t>
            </w:r>
            <w:r w:rsidR="00134DE4" w:rsidRPr="0095120B">
              <w:rPr>
                <w:rFonts w:ascii="Times New Roman" w:hAnsi="Times New Roman"/>
                <w:lang w:bidi="pl-PL"/>
              </w:rPr>
              <w:t xml:space="preserve">ustawy </w:t>
            </w:r>
            <w:r w:rsidRPr="0095120B">
              <w:rPr>
                <w:rFonts w:ascii="Times New Roman" w:hAnsi="Times New Roman"/>
                <w:lang w:bidi="pl-PL"/>
              </w:rPr>
              <w:t xml:space="preserve">nie podlegał </w:t>
            </w:r>
            <w:proofErr w:type="spellStart"/>
            <w:r w:rsidRPr="0095120B">
              <w:rPr>
                <w:rFonts w:ascii="Times New Roman" w:hAnsi="Times New Roman"/>
                <w:lang w:bidi="pl-PL"/>
              </w:rPr>
              <w:t>pre</w:t>
            </w:r>
            <w:proofErr w:type="spellEnd"/>
            <w:r w:rsidRPr="0095120B">
              <w:rPr>
                <w:rFonts w:ascii="Times New Roman" w:hAnsi="Times New Roman"/>
                <w:lang w:bidi="pl-PL"/>
              </w:rPr>
              <w:t>-konsultacjom.</w:t>
            </w:r>
          </w:p>
          <w:p w14:paraId="1BD2ED38" w14:textId="473FF580" w:rsidR="0023077C" w:rsidRPr="0095120B" w:rsidRDefault="0023077C" w:rsidP="004663A3">
            <w:pPr>
              <w:spacing w:line="240" w:lineRule="auto"/>
              <w:jc w:val="both"/>
              <w:rPr>
                <w:rFonts w:ascii="Times New Roman" w:hAnsi="Times New Roman"/>
                <w:lang w:bidi="pl-PL"/>
              </w:rPr>
            </w:pPr>
            <w:r w:rsidRPr="0095120B">
              <w:rPr>
                <w:rFonts w:ascii="Times New Roman" w:hAnsi="Times New Roman"/>
                <w:lang w:bidi="pl-PL"/>
              </w:rPr>
              <w:t xml:space="preserve">Projekt </w:t>
            </w:r>
            <w:r w:rsidR="00134DE4" w:rsidRPr="0095120B">
              <w:rPr>
                <w:rFonts w:ascii="Times New Roman" w:hAnsi="Times New Roman"/>
                <w:lang w:bidi="pl-PL"/>
              </w:rPr>
              <w:t xml:space="preserve">ustawy </w:t>
            </w:r>
            <w:r w:rsidR="00EA256B" w:rsidRPr="0095120B">
              <w:rPr>
                <w:rFonts w:ascii="Times New Roman" w:hAnsi="Times New Roman"/>
                <w:lang w:bidi="pl-PL"/>
              </w:rPr>
              <w:t>zosta</w:t>
            </w:r>
            <w:r w:rsidR="003F6220">
              <w:rPr>
                <w:rFonts w:ascii="Times New Roman" w:hAnsi="Times New Roman"/>
                <w:lang w:bidi="pl-PL"/>
              </w:rPr>
              <w:t>ł</w:t>
            </w:r>
            <w:r w:rsidR="00EA256B" w:rsidRPr="0095120B">
              <w:rPr>
                <w:rFonts w:ascii="Times New Roman" w:hAnsi="Times New Roman"/>
                <w:lang w:bidi="pl-PL"/>
              </w:rPr>
              <w:t xml:space="preserve"> </w:t>
            </w:r>
            <w:r w:rsidRPr="0095120B">
              <w:rPr>
                <w:rFonts w:ascii="Times New Roman" w:hAnsi="Times New Roman"/>
                <w:lang w:bidi="pl-PL"/>
              </w:rPr>
              <w:t xml:space="preserve">przesłany do konsultacji publicznych i opiniowania z </w:t>
            </w:r>
            <w:r w:rsidR="006F3FE8">
              <w:rPr>
                <w:rFonts w:ascii="Times New Roman" w:hAnsi="Times New Roman"/>
                <w:lang w:bidi="pl-PL"/>
              </w:rPr>
              <w:t>30</w:t>
            </w:r>
            <w:r w:rsidR="00CB7148" w:rsidRPr="0095120B">
              <w:rPr>
                <w:rFonts w:ascii="Times New Roman" w:hAnsi="Times New Roman"/>
                <w:lang w:bidi="pl-PL"/>
              </w:rPr>
              <w:t>-</w:t>
            </w:r>
            <w:r w:rsidRPr="0095120B">
              <w:rPr>
                <w:rFonts w:ascii="Times New Roman" w:hAnsi="Times New Roman"/>
                <w:lang w:bidi="pl-PL"/>
              </w:rPr>
              <w:t>dniowym terminem na zgłaszanie uwag do</w:t>
            </w:r>
            <w:r w:rsidR="00752550" w:rsidRPr="0095120B">
              <w:rPr>
                <w:rFonts w:ascii="Times New Roman" w:hAnsi="Times New Roman"/>
                <w:lang w:bidi="pl-PL"/>
              </w:rPr>
              <w:t> </w:t>
            </w:r>
            <w:r w:rsidRPr="0095120B">
              <w:rPr>
                <w:rFonts w:ascii="Times New Roman" w:hAnsi="Times New Roman"/>
                <w:lang w:bidi="pl-PL"/>
              </w:rPr>
              <w:t xml:space="preserve">następujących podmiotów i organizacji: </w:t>
            </w:r>
          </w:p>
          <w:p w14:paraId="17F0DD6C" w14:textId="77777777" w:rsidR="003F6220" w:rsidRPr="003F6220" w:rsidRDefault="003F6220" w:rsidP="003F6220">
            <w:pPr>
              <w:numPr>
                <w:ilvl w:val="0"/>
                <w:numId w:val="7"/>
              </w:numPr>
              <w:spacing w:line="240" w:lineRule="auto"/>
              <w:jc w:val="both"/>
              <w:rPr>
                <w:rFonts w:ascii="Times New Roman" w:hAnsi="Times New Roman"/>
                <w:lang w:bidi="pl-PL"/>
              </w:rPr>
            </w:pPr>
            <w:bookmarkStart w:id="6" w:name="_Hlk198228605"/>
            <w:r w:rsidRPr="003F6220">
              <w:rPr>
                <w:rFonts w:ascii="Times New Roman" w:hAnsi="Times New Roman"/>
                <w:lang w:bidi="pl-PL"/>
              </w:rPr>
              <w:t xml:space="preserve">Naczelna Rada Lekarska; </w:t>
            </w:r>
          </w:p>
          <w:p w14:paraId="0E6B3095" w14:textId="77777777" w:rsidR="003F6220" w:rsidRPr="003F6220" w:rsidRDefault="003F6220" w:rsidP="003F6220">
            <w:pPr>
              <w:numPr>
                <w:ilvl w:val="0"/>
                <w:numId w:val="7"/>
              </w:numPr>
              <w:spacing w:line="240" w:lineRule="auto"/>
              <w:jc w:val="both"/>
              <w:rPr>
                <w:rFonts w:ascii="Times New Roman" w:hAnsi="Times New Roman"/>
                <w:lang w:bidi="pl-PL"/>
              </w:rPr>
            </w:pPr>
            <w:r w:rsidRPr="003F6220">
              <w:rPr>
                <w:rFonts w:ascii="Times New Roman" w:hAnsi="Times New Roman"/>
                <w:lang w:bidi="pl-PL"/>
              </w:rPr>
              <w:t xml:space="preserve">Naczelna Rada Pielęgniarek i Położnych; </w:t>
            </w:r>
          </w:p>
          <w:p w14:paraId="41338E62" w14:textId="77777777" w:rsidR="003F6220" w:rsidRPr="003F6220" w:rsidRDefault="003F6220" w:rsidP="003F6220">
            <w:pPr>
              <w:numPr>
                <w:ilvl w:val="0"/>
                <w:numId w:val="7"/>
              </w:numPr>
              <w:spacing w:line="240" w:lineRule="auto"/>
              <w:jc w:val="both"/>
              <w:rPr>
                <w:rFonts w:ascii="Times New Roman" w:hAnsi="Times New Roman"/>
                <w:lang w:bidi="pl-PL"/>
              </w:rPr>
            </w:pPr>
            <w:r w:rsidRPr="003F6220">
              <w:rPr>
                <w:rFonts w:ascii="Times New Roman" w:hAnsi="Times New Roman"/>
                <w:lang w:bidi="pl-PL"/>
              </w:rPr>
              <w:t xml:space="preserve">Naczelna Rada Aptekarska; </w:t>
            </w:r>
          </w:p>
          <w:p w14:paraId="71EA1FAA" w14:textId="77777777" w:rsidR="003F6220" w:rsidRPr="003F6220" w:rsidRDefault="003F6220" w:rsidP="003F6220">
            <w:pPr>
              <w:numPr>
                <w:ilvl w:val="0"/>
                <w:numId w:val="7"/>
              </w:numPr>
              <w:spacing w:line="240" w:lineRule="auto"/>
              <w:jc w:val="both"/>
              <w:rPr>
                <w:rFonts w:ascii="Times New Roman" w:hAnsi="Times New Roman"/>
                <w:lang w:bidi="pl-PL"/>
              </w:rPr>
            </w:pPr>
            <w:r w:rsidRPr="003F6220">
              <w:rPr>
                <w:rFonts w:ascii="Times New Roman" w:hAnsi="Times New Roman"/>
                <w:lang w:bidi="pl-PL"/>
              </w:rPr>
              <w:t xml:space="preserve">Krajowa Rada Diagnostów Laboratoryjnych; </w:t>
            </w:r>
          </w:p>
          <w:p w14:paraId="3DCDA356" w14:textId="77777777" w:rsidR="003F6220" w:rsidRPr="003F6220" w:rsidRDefault="003F6220" w:rsidP="003F6220">
            <w:pPr>
              <w:numPr>
                <w:ilvl w:val="0"/>
                <w:numId w:val="7"/>
              </w:numPr>
              <w:spacing w:line="240" w:lineRule="auto"/>
              <w:jc w:val="both"/>
              <w:rPr>
                <w:rFonts w:ascii="Times New Roman" w:hAnsi="Times New Roman"/>
                <w:lang w:bidi="pl-PL"/>
              </w:rPr>
            </w:pPr>
            <w:r w:rsidRPr="003F6220">
              <w:rPr>
                <w:rFonts w:ascii="Times New Roman" w:hAnsi="Times New Roman"/>
                <w:lang w:bidi="pl-PL"/>
              </w:rPr>
              <w:t xml:space="preserve">Krajowa Rada Fizjoterapeutów; </w:t>
            </w:r>
          </w:p>
          <w:p w14:paraId="14FFE759" w14:textId="77777777" w:rsidR="003F6220" w:rsidRPr="003F6220" w:rsidRDefault="003F6220" w:rsidP="003F6220">
            <w:pPr>
              <w:numPr>
                <w:ilvl w:val="0"/>
                <w:numId w:val="7"/>
              </w:numPr>
              <w:spacing w:line="240" w:lineRule="auto"/>
              <w:jc w:val="both"/>
              <w:rPr>
                <w:rFonts w:ascii="Times New Roman" w:hAnsi="Times New Roman"/>
                <w:lang w:bidi="pl-PL"/>
              </w:rPr>
            </w:pPr>
            <w:r w:rsidRPr="003F6220">
              <w:rPr>
                <w:rFonts w:ascii="Times New Roman" w:hAnsi="Times New Roman"/>
                <w:lang w:bidi="pl-PL"/>
              </w:rPr>
              <w:t xml:space="preserve">Krajowa Rada Ratowników Medycznych; </w:t>
            </w:r>
          </w:p>
          <w:p w14:paraId="246AD271"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Związek Pracodawców Business Centre Club;</w:t>
            </w:r>
          </w:p>
          <w:p w14:paraId="3117F0F3"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Związek Przedsiębiorców i Pracodawców;</w:t>
            </w:r>
          </w:p>
          <w:p w14:paraId="7E836115"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Forum Związków Zawodowych;</w:t>
            </w:r>
          </w:p>
          <w:p w14:paraId="1130556C"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Pracodawcy RP;</w:t>
            </w:r>
          </w:p>
          <w:p w14:paraId="0649CE34"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Konfederacja Lewiatan;</w:t>
            </w:r>
          </w:p>
          <w:p w14:paraId="58785CAF" w14:textId="77777777" w:rsidR="004734DE"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Federacja Przedsiębiorców Polskich;</w:t>
            </w:r>
          </w:p>
          <w:p w14:paraId="28798B81" w14:textId="31816816" w:rsidR="003F6220" w:rsidRPr="0095120B" w:rsidRDefault="003F6220" w:rsidP="004663A3">
            <w:pPr>
              <w:numPr>
                <w:ilvl w:val="0"/>
                <w:numId w:val="7"/>
              </w:numPr>
              <w:spacing w:line="240" w:lineRule="auto"/>
              <w:jc w:val="both"/>
              <w:rPr>
                <w:rFonts w:ascii="Times New Roman" w:hAnsi="Times New Roman"/>
                <w:lang w:bidi="pl-PL"/>
              </w:rPr>
            </w:pPr>
            <w:r w:rsidRPr="003F6220">
              <w:rPr>
                <w:rFonts w:ascii="Times New Roman" w:hAnsi="Times New Roman"/>
                <w:lang w:bidi="pl-PL"/>
              </w:rPr>
              <w:t>Komisja Wspólna Rządu i Samorządu Terytorialnego</w:t>
            </w:r>
            <w:r>
              <w:rPr>
                <w:rFonts w:ascii="Times New Roman" w:hAnsi="Times New Roman"/>
                <w:lang w:bidi="pl-PL"/>
              </w:rPr>
              <w:t>;</w:t>
            </w:r>
          </w:p>
          <w:p w14:paraId="1C887D78"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Komisja Krajowa NSZZ „Solidarność”;</w:t>
            </w:r>
          </w:p>
          <w:p w14:paraId="3B421A8B" w14:textId="64C0723B"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K</w:t>
            </w:r>
            <w:r w:rsidR="00D703AD" w:rsidRPr="0095120B">
              <w:rPr>
                <w:rFonts w:ascii="Times New Roman" w:hAnsi="Times New Roman"/>
                <w:lang w:bidi="pl-PL"/>
              </w:rPr>
              <w:t xml:space="preserve">omisja </w:t>
            </w:r>
            <w:r w:rsidRPr="0095120B">
              <w:rPr>
                <w:rFonts w:ascii="Times New Roman" w:hAnsi="Times New Roman"/>
                <w:lang w:bidi="pl-PL"/>
              </w:rPr>
              <w:t>K</w:t>
            </w:r>
            <w:r w:rsidR="00D703AD" w:rsidRPr="0095120B">
              <w:rPr>
                <w:rFonts w:ascii="Times New Roman" w:hAnsi="Times New Roman"/>
                <w:lang w:bidi="pl-PL"/>
              </w:rPr>
              <w:t>rajowa</w:t>
            </w:r>
            <w:r w:rsidRPr="0095120B">
              <w:rPr>
                <w:rFonts w:ascii="Times New Roman" w:hAnsi="Times New Roman"/>
                <w:lang w:bidi="pl-PL"/>
              </w:rPr>
              <w:t xml:space="preserve"> NSZZ „</w:t>
            </w:r>
            <w:r w:rsidR="00D703AD" w:rsidRPr="0095120B">
              <w:rPr>
                <w:rFonts w:ascii="Times New Roman" w:hAnsi="Times New Roman"/>
                <w:lang w:bidi="pl-PL"/>
              </w:rPr>
              <w:t>Solidarność-</w:t>
            </w:r>
            <w:r w:rsidRPr="0095120B">
              <w:rPr>
                <w:rFonts w:ascii="Times New Roman" w:hAnsi="Times New Roman"/>
                <w:lang w:bidi="pl-PL"/>
              </w:rPr>
              <w:t>80”;</w:t>
            </w:r>
          </w:p>
          <w:p w14:paraId="720117F1"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Ogólnopolskie Porozumienie Związków Zawodowych;</w:t>
            </w:r>
          </w:p>
          <w:p w14:paraId="2F006366"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Związek Rzemiosła Polskiego;</w:t>
            </w:r>
          </w:p>
          <w:p w14:paraId="3CF21ACB" w14:textId="0B314288"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Polski Związek Pracodawców Przemysłu Farmaceutycznego</w:t>
            </w:r>
            <w:r w:rsidR="00DD0F23" w:rsidRPr="0095120B">
              <w:rPr>
                <w:rFonts w:ascii="Times New Roman" w:hAnsi="Times New Roman"/>
                <w:lang w:bidi="pl-PL"/>
              </w:rPr>
              <w:t xml:space="preserve"> – Krajowi Producenci Leków</w:t>
            </w:r>
            <w:r w:rsidRPr="0095120B">
              <w:rPr>
                <w:rFonts w:ascii="Times New Roman" w:hAnsi="Times New Roman"/>
                <w:lang w:bidi="pl-PL"/>
              </w:rPr>
              <w:t>;</w:t>
            </w:r>
          </w:p>
          <w:p w14:paraId="773637B6" w14:textId="71501C01" w:rsidR="00DD0F23" w:rsidRPr="0095120B" w:rsidRDefault="00DD0F23"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Ogólnopolska Izba Gospodarcza Wyrobów Medycznych POLMED;</w:t>
            </w:r>
          </w:p>
          <w:p w14:paraId="5A5D9B5A" w14:textId="4D625681" w:rsidR="00DD0F23" w:rsidRPr="0095120B" w:rsidRDefault="00DD0F23"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Polska Organizacja Handlu i Dystrybucji;</w:t>
            </w:r>
          </w:p>
          <w:p w14:paraId="2EFAB650"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Związek Pracodawców Innowacyjnych Firm Farmaceutycznych „INFARMA”;</w:t>
            </w:r>
          </w:p>
          <w:p w14:paraId="66756781" w14:textId="77777777" w:rsidR="004734DE"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Izba Gospodarcza „Farmacja Polska”;</w:t>
            </w:r>
          </w:p>
          <w:p w14:paraId="7838C934" w14:textId="7C19F7C4" w:rsidR="006B342A" w:rsidRDefault="006B342A" w:rsidP="004663A3">
            <w:pPr>
              <w:numPr>
                <w:ilvl w:val="0"/>
                <w:numId w:val="7"/>
              </w:numPr>
              <w:spacing w:line="240" w:lineRule="auto"/>
              <w:jc w:val="both"/>
              <w:rPr>
                <w:rFonts w:ascii="Times New Roman" w:hAnsi="Times New Roman"/>
                <w:lang w:bidi="pl-PL"/>
              </w:rPr>
            </w:pPr>
            <w:r w:rsidRPr="006B342A">
              <w:rPr>
                <w:rFonts w:ascii="Times New Roman" w:hAnsi="Times New Roman"/>
                <w:lang w:bidi="pl-PL"/>
              </w:rPr>
              <w:t>Polska Dystrybucja Farmaceutyczna</w:t>
            </w:r>
            <w:r>
              <w:rPr>
                <w:rFonts w:ascii="Times New Roman" w:hAnsi="Times New Roman"/>
                <w:lang w:bidi="pl-PL"/>
              </w:rPr>
              <w:t>;</w:t>
            </w:r>
          </w:p>
          <w:p w14:paraId="1972742D" w14:textId="7272D78C" w:rsidR="006B342A" w:rsidRPr="0095120B" w:rsidRDefault="006B342A" w:rsidP="004663A3">
            <w:pPr>
              <w:numPr>
                <w:ilvl w:val="0"/>
                <w:numId w:val="7"/>
              </w:numPr>
              <w:spacing w:line="240" w:lineRule="auto"/>
              <w:jc w:val="both"/>
              <w:rPr>
                <w:rFonts w:ascii="Times New Roman" w:hAnsi="Times New Roman"/>
                <w:lang w:bidi="pl-PL"/>
              </w:rPr>
            </w:pPr>
            <w:r w:rsidRPr="006B342A">
              <w:rPr>
                <w:rFonts w:ascii="Times New Roman" w:hAnsi="Times New Roman"/>
                <w:lang w:bidi="pl-PL"/>
              </w:rPr>
              <w:t>Polskie Towarzystwo Gospodarcze</w:t>
            </w:r>
            <w:r>
              <w:rPr>
                <w:rFonts w:ascii="Times New Roman" w:hAnsi="Times New Roman"/>
                <w:lang w:bidi="pl-PL"/>
              </w:rPr>
              <w:t>;</w:t>
            </w:r>
          </w:p>
          <w:p w14:paraId="4110AE15"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Polskie Towarzystwo Farmaceutyczne;</w:t>
            </w:r>
          </w:p>
          <w:p w14:paraId="37F33CE3"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Narodowy Instytut Leków;</w:t>
            </w:r>
          </w:p>
          <w:p w14:paraId="664BADA5" w14:textId="3D62D456" w:rsidR="004734DE" w:rsidRPr="00B42B18" w:rsidRDefault="00DC7F99" w:rsidP="004663A3">
            <w:pPr>
              <w:numPr>
                <w:ilvl w:val="0"/>
                <w:numId w:val="7"/>
              </w:numPr>
              <w:spacing w:line="240" w:lineRule="auto"/>
              <w:jc w:val="both"/>
              <w:rPr>
                <w:rFonts w:ascii="Times New Roman" w:hAnsi="Times New Roman"/>
                <w:lang w:bidi="pl-PL"/>
              </w:rPr>
            </w:pPr>
            <w:r w:rsidRPr="00B42B18">
              <w:rPr>
                <w:rFonts w:ascii="Times New Roman" w:hAnsi="Times New Roman"/>
                <w:lang w:bidi="pl-PL"/>
              </w:rPr>
              <w:t>Amerykańska Izba Handlowa w Polsce</w:t>
            </w:r>
            <w:r w:rsidR="00C75FF9" w:rsidRPr="00B42B18">
              <w:rPr>
                <w:rFonts w:ascii="Times New Roman" w:hAnsi="Times New Roman"/>
                <w:lang w:bidi="pl-PL"/>
              </w:rPr>
              <w:t>;</w:t>
            </w:r>
          </w:p>
          <w:p w14:paraId="5DC182E0"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Polska Izba Przemysłu Farmaceutycznego i Wyrobów Medycznych POLFARMED;</w:t>
            </w:r>
          </w:p>
          <w:p w14:paraId="385142E9" w14:textId="77777777" w:rsidR="00154E4A" w:rsidRPr="0095120B" w:rsidRDefault="00154E4A" w:rsidP="004663A3">
            <w:pPr>
              <w:numPr>
                <w:ilvl w:val="0"/>
                <w:numId w:val="7"/>
              </w:numPr>
              <w:spacing w:line="240" w:lineRule="auto"/>
              <w:jc w:val="both"/>
              <w:rPr>
                <w:rFonts w:ascii="Times New Roman" w:hAnsi="Times New Roman"/>
                <w:lang w:bidi="pl-PL"/>
              </w:rPr>
            </w:pPr>
            <w:proofErr w:type="spellStart"/>
            <w:r w:rsidRPr="0095120B">
              <w:rPr>
                <w:rFonts w:ascii="Times New Roman" w:hAnsi="Times New Roman"/>
                <w:lang w:bidi="pl-PL"/>
              </w:rPr>
              <w:t>Technomed</w:t>
            </w:r>
            <w:proofErr w:type="spellEnd"/>
            <w:r w:rsidRPr="0095120B">
              <w:rPr>
                <w:rFonts w:ascii="Times New Roman" w:hAnsi="Times New Roman"/>
                <w:lang w:bidi="pl-PL"/>
              </w:rPr>
              <w:t xml:space="preserve"> Organizacja Pracodawców Przemysłu Medycznego;</w:t>
            </w:r>
          </w:p>
          <w:p w14:paraId="0E459547" w14:textId="2E757CE0" w:rsidR="00154E4A" w:rsidRPr="0095120B" w:rsidRDefault="00154E4A"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Ogólnopolski Związ</w:t>
            </w:r>
            <w:r w:rsidR="003F6220">
              <w:rPr>
                <w:rFonts w:ascii="Times New Roman" w:hAnsi="Times New Roman"/>
                <w:lang w:bidi="pl-PL"/>
              </w:rPr>
              <w:t>ek</w:t>
            </w:r>
            <w:r w:rsidRPr="0095120B">
              <w:rPr>
                <w:rFonts w:ascii="Times New Roman" w:hAnsi="Times New Roman"/>
                <w:lang w:bidi="pl-PL"/>
              </w:rPr>
              <w:t xml:space="preserve"> Pracodawców Podmiotów Leczniczych;</w:t>
            </w:r>
          </w:p>
          <w:p w14:paraId="32EDFBE3"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Rada Dialogu Społecznego;</w:t>
            </w:r>
          </w:p>
          <w:p w14:paraId="6EE4FF97" w14:textId="648965B4" w:rsidR="004734DE"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Rada Organizacji Pacjentów</w:t>
            </w:r>
            <w:r w:rsidR="006B342A" w:rsidRPr="006B342A">
              <w:t xml:space="preserve"> </w:t>
            </w:r>
            <w:r w:rsidR="006B342A" w:rsidRPr="006B342A">
              <w:rPr>
                <w:rFonts w:ascii="Times New Roman" w:hAnsi="Times New Roman"/>
                <w:lang w:bidi="pl-PL"/>
              </w:rPr>
              <w:t>przy ministrze właściwym do</w:t>
            </w:r>
            <w:r w:rsidR="006B342A">
              <w:rPr>
                <w:rFonts w:ascii="Times New Roman" w:hAnsi="Times New Roman"/>
                <w:lang w:bidi="pl-PL"/>
              </w:rPr>
              <w:t xml:space="preserve"> </w:t>
            </w:r>
            <w:r w:rsidR="006B342A" w:rsidRPr="006B342A">
              <w:rPr>
                <w:rFonts w:ascii="Times New Roman" w:hAnsi="Times New Roman"/>
                <w:lang w:bidi="pl-PL"/>
              </w:rPr>
              <w:t>spraw zdrowia</w:t>
            </w:r>
            <w:r w:rsidRPr="0095120B">
              <w:rPr>
                <w:rFonts w:ascii="Times New Roman" w:hAnsi="Times New Roman"/>
                <w:lang w:bidi="pl-PL"/>
              </w:rPr>
              <w:t>;</w:t>
            </w:r>
          </w:p>
          <w:p w14:paraId="3010572D" w14:textId="6C4478EF" w:rsidR="004935B0" w:rsidRPr="0095120B" w:rsidRDefault="004935B0" w:rsidP="004663A3">
            <w:pPr>
              <w:numPr>
                <w:ilvl w:val="0"/>
                <w:numId w:val="7"/>
              </w:numPr>
              <w:spacing w:line="240" w:lineRule="auto"/>
              <w:jc w:val="both"/>
              <w:rPr>
                <w:rFonts w:ascii="Times New Roman" w:hAnsi="Times New Roman"/>
                <w:lang w:bidi="pl-PL"/>
              </w:rPr>
            </w:pPr>
            <w:r w:rsidRPr="004935B0">
              <w:rPr>
                <w:rFonts w:ascii="Times New Roman" w:hAnsi="Times New Roman"/>
                <w:lang w:bidi="pl-PL"/>
              </w:rPr>
              <w:t>Rzecznik Praw Pacjenta</w:t>
            </w:r>
            <w:r>
              <w:rPr>
                <w:rFonts w:ascii="Times New Roman" w:hAnsi="Times New Roman"/>
                <w:lang w:bidi="pl-PL"/>
              </w:rPr>
              <w:t>;</w:t>
            </w:r>
          </w:p>
          <w:p w14:paraId="1F89CE94" w14:textId="13D1F106" w:rsidR="00903323"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Główny Inspektorat Farmaceutyczny</w:t>
            </w:r>
            <w:r w:rsidR="002C7667">
              <w:rPr>
                <w:rFonts w:ascii="Times New Roman" w:hAnsi="Times New Roman"/>
                <w:lang w:bidi="pl-PL"/>
              </w:rPr>
              <w:t>;</w:t>
            </w:r>
          </w:p>
          <w:p w14:paraId="622E32AC" w14:textId="59EDB616" w:rsidR="004734DE" w:rsidRPr="0095120B" w:rsidRDefault="00903323" w:rsidP="004663A3">
            <w:pPr>
              <w:numPr>
                <w:ilvl w:val="0"/>
                <w:numId w:val="7"/>
              </w:numPr>
              <w:spacing w:line="240" w:lineRule="auto"/>
              <w:jc w:val="both"/>
              <w:rPr>
                <w:rFonts w:ascii="Times New Roman" w:hAnsi="Times New Roman"/>
                <w:lang w:bidi="pl-PL"/>
              </w:rPr>
            </w:pPr>
            <w:r>
              <w:rPr>
                <w:rFonts w:ascii="Times New Roman" w:hAnsi="Times New Roman"/>
                <w:lang w:bidi="pl-PL"/>
              </w:rPr>
              <w:t>Główny Inspektorat Sanitarny</w:t>
            </w:r>
            <w:r w:rsidR="004734DE" w:rsidRPr="0095120B">
              <w:rPr>
                <w:rFonts w:ascii="Times New Roman" w:hAnsi="Times New Roman"/>
                <w:lang w:bidi="pl-PL"/>
              </w:rPr>
              <w:t>;</w:t>
            </w:r>
          </w:p>
          <w:p w14:paraId="215AE334"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Urząd Rejestracji Produktów Leczniczych, Wyrobów Medycznych i Produktów Biobójczych;</w:t>
            </w:r>
          </w:p>
          <w:p w14:paraId="36CAF8E4" w14:textId="05A22428"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Narodow</w:t>
            </w:r>
            <w:r w:rsidR="00590434" w:rsidRPr="0095120B">
              <w:rPr>
                <w:rFonts w:ascii="Times New Roman" w:hAnsi="Times New Roman"/>
                <w:lang w:bidi="pl-PL"/>
              </w:rPr>
              <w:t>y</w:t>
            </w:r>
            <w:r w:rsidRPr="0095120B">
              <w:rPr>
                <w:rFonts w:ascii="Times New Roman" w:hAnsi="Times New Roman"/>
                <w:lang w:bidi="pl-PL"/>
              </w:rPr>
              <w:t xml:space="preserve"> Fundusz Zdrowia;</w:t>
            </w:r>
          </w:p>
          <w:p w14:paraId="23BB02BE"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Agencja Oceny Technologii Medycznych i Taryfikacji;</w:t>
            </w:r>
          </w:p>
          <w:p w14:paraId="770ACB22" w14:textId="47EBC437" w:rsidR="00400946" w:rsidRPr="0095120B" w:rsidRDefault="00400946"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Agencja Badań Medycznych;</w:t>
            </w:r>
          </w:p>
          <w:p w14:paraId="58650A8A"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Centrum e-Zdrowia;</w:t>
            </w:r>
          </w:p>
          <w:p w14:paraId="37522FF8" w14:textId="490AFD4F" w:rsidR="004734DE" w:rsidRPr="0095120B" w:rsidRDefault="00C75FF9"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 xml:space="preserve">Prezes </w:t>
            </w:r>
            <w:r w:rsidR="004734DE" w:rsidRPr="0095120B">
              <w:rPr>
                <w:rFonts w:ascii="Times New Roman" w:hAnsi="Times New Roman"/>
                <w:lang w:bidi="pl-PL"/>
              </w:rPr>
              <w:t>Prokuratori</w:t>
            </w:r>
            <w:r w:rsidRPr="0095120B">
              <w:rPr>
                <w:rFonts w:ascii="Times New Roman" w:hAnsi="Times New Roman"/>
                <w:lang w:bidi="pl-PL"/>
              </w:rPr>
              <w:t>i</w:t>
            </w:r>
            <w:r w:rsidR="004734DE" w:rsidRPr="0095120B">
              <w:rPr>
                <w:rFonts w:ascii="Times New Roman" w:hAnsi="Times New Roman"/>
                <w:lang w:bidi="pl-PL"/>
              </w:rPr>
              <w:t xml:space="preserve"> Generaln</w:t>
            </w:r>
            <w:r w:rsidRPr="0095120B">
              <w:rPr>
                <w:rFonts w:ascii="Times New Roman" w:hAnsi="Times New Roman"/>
                <w:lang w:bidi="pl-PL"/>
              </w:rPr>
              <w:t>ej</w:t>
            </w:r>
            <w:r w:rsidR="004734DE" w:rsidRPr="0095120B">
              <w:rPr>
                <w:rFonts w:ascii="Times New Roman" w:hAnsi="Times New Roman"/>
                <w:lang w:bidi="pl-PL"/>
              </w:rPr>
              <w:t xml:space="preserve"> Rzeczypospolitej Polskiej;</w:t>
            </w:r>
          </w:p>
          <w:p w14:paraId="6706FCC8" w14:textId="77777777" w:rsidR="004734DE"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 xml:space="preserve">Prezes Urzędu Ochrony Konkurencji i Konsumentów; </w:t>
            </w:r>
          </w:p>
          <w:p w14:paraId="05E346DA" w14:textId="06F2E6D8" w:rsidR="0023077C" w:rsidRPr="0095120B" w:rsidRDefault="004734DE" w:rsidP="004663A3">
            <w:pPr>
              <w:numPr>
                <w:ilvl w:val="0"/>
                <w:numId w:val="7"/>
              </w:numPr>
              <w:spacing w:line="240" w:lineRule="auto"/>
              <w:jc w:val="both"/>
              <w:rPr>
                <w:rFonts w:ascii="Times New Roman" w:hAnsi="Times New Roman"/>
                <w:lang w:bidi="pl-PL"/>
              </w:rPr>
            </w:pPr>
            <w:r w:rsidRPr="0095120B">
              <w:rPr>
                <w:rFonts w:ascii="Times New Roman" w:hAnsi="Times New Roman"/>
                <w:lang w:bidi="pl-PL"/>
              </w:rPr>
              <w:t>Prezes Urzędu Ochrony Danych Osobowych.</w:t>
            </w:r>
          </w:p>
          <w:bookmarkEnd w:id="6"/>
          <w:p w14:paraId="7B21D3F0" w14:textId="16A867E8" w:rsidR="0023077C" w:rsidRPr="0095120B" w:rsidRDefault="0023077C" w:rsidP="004663A3">
            <w:pPr>
              <w:spacing w:line="240" w:lineRule="auto"/>
              <w:jc w:val="both"/>
              <w:rPr>
                <w:rFonts w:ascii="Times New Roman" w:hAnsi="Times New Roman"/>
                <w:lang w:bidi="pl-PL"/>
              </w:rPr>
            </w:pPr>
          </w:p>
          <w:p w14:paraId="507B5B64" w14:textId="7E445409" w:rsidR="0023077C" w:rsidRPr="0095120B" w:rsidRDefault="0023077C" w:rsidP="004663A3">
            <w:pPr>
              <w:spacing w:line="240" w:lineRule="auto"/>
              <w:jc w:val="both"/>
              <w:rPr>
                <w:rFonts w:ascii="Times New Roman" w:hAnsi="Times New Roman"/>
                <w:lang w:bidi="pl-PL"/>
              </w:rPr>
            </w:pPr>
            <w:r w:rsidRPr="0095120B">
              <w:rPr>
                <w:rFonts w:ascii="Times New Roman" w:hAnsi="Times New Roman"/>
                <w:lang w:bidi="pl-PL"/>
              </w:rPr>
              <w:t xml:space="preserve">Projekt </w:t>
            </w:r>
            <w:r w:rsidR="00134DE4" w:rsidRPr="0095120B">
              <w:rPr>
                <w:rFonts w:ascii="Times New Roman" w:hAnsi="Times New Roman"/>
                <w:lang w:bidi="pl-PL"/>
              </w:rPr>
              <w:t xml:space="preserve">ustawy </w:t>
            </w:r>
            <w:r w:rsidRPr="0095120B">
              <w:rPr>
                <w:rFonts w:ascii="Times New Roman" w:hAnsi="Times New Roman"/>
                <w:lang w:bidi="pl-PL"/>
              </w:rPr>
              <w:t>zosta</w:t>
            </w:r>
            <w:r w:rsidR="003F6220">
              <w:rPr>
                <w:rFonts w:ascii="Times New Roman" w:hAnsi="Times New Roman"/>
                <w:lang w:bidi="pl-PL"/>
              </w:rPr>
              <w:t xml:space="preserve">ł </w:t>
            </w:r>
            <w:r w:rsidRPr="0095120B">
              <w:rPr>
                <w:rFonts w:ascii="Times New Roman" w:hAnsi="Times New Roman"/>
                <w:lang w:bidi="pl-PL"/>
              </w:rPr>
              <w:t>udostępniony w Biuletynie Informacji Publicznej Ministerstwa Zdrowia, zgodnie z art. 5 ustawy z</w:t>
            </w:r>
            <w:r w:rsidR="00752550" w:rsidRPr="0095120B">
              <w:rPr>
                <w:rFonts w:ascii="Times New Roman" w:hAnsi="Times New Roman"/>
                <w:lang w:bidi="pl-PL"/>
              </w:rPr>
              <w:t> </w:t>
            </w:r>
            <w:r w:rsidRPr="0095120B">
              <w:rPr>
                <w:rFonts w:ascii="Times New Roman" w:hAnsi="Times New Roman"/>
                <w:lang w:bidi="pl-PL"/>
              </w:rPr>
              <w:t>dnia 7 lipca 2005 r. o działalności lobbingowej w procesie stanowienia prawa (Dz. U. z 2017 r. poz. 248</w:t>
            </w:r>
            <w:r w:rsidR="00814749" w:rsidRPr="0095120B">
              <w:rPr>
                <w:rFonts w:ascii="Times New Roman" w:hAnsi="Times New Roman"/>
                <w:lang w:bidi="pl-PL"/>
              </w:rPr>
              <w:t xml:space="preserve"> oraz z 2024 r. poz. 1535</w:t>
            </w:r>
            <w:r w:rsidRPr="0095120B">
              <w:rPr>
                <w:rFonts w:ascii="Times New Roman" w:hAnsi="Times New Roman"/>
                <w:lang w:bidi="pl-PL"/>
              </w:rPr>
              <w:t>), oraz w</w:t>
            </w:r>
            <w:r w:rsidR="00752550" w:rsidRPr="0095120B">
              <w:rPr>
                <w:rFonts w:ascii="Times New Roman" w:hAnsi="Times New Roman"/>
                <w:lang w:bidi="pl-PL"/>
              </w:rPr>
              <w:t> </w:t>
            </w:r>
            <w:r w:rsidRPr="0095120B">
              <w:rPr>
                <w:rFonts w:ascii="Times New Roman" w:hAnsi="Times New Roman"/>
                <w:lang w:bidi="pl-PL"/>
              </w:rPr>
              <w:t xml:space="preserve">Biuletynie Informacji Publicznej Rządowego Centrum Legislacji, zgodnie z § 52 uchwały nr 190 Rady Ministrów z dnia 29 października 2013 r. – Regulamin pracy Rady Ministrów (M.P. z </w:t>
            </w:r>
            <w:r w:rsidR="00D703AD" w:rsidRPr="0095120B">
              <w:rPr>
                <w:rFonts w:ascii="Times New Roman" w:hAnsi="Times New Roman"/>
                <w:lang w:bidi="pl-PL"/>
              </w:rPr>
              <w:t xml:space="preserve">2024 </w:t>
            </w:r>
            <w:r w:rsidRPr="0095120B">
              <w:rPr>
                <w:rFonts w:ascii="Times New Roman" w:hAnsi="Times New Roman"/>
                <w:lang w:bidi="pl-PL"/>
              </w:rPr>
              <w:t xml:space="preserve">r. poz. </w:t>
            </w:r>
            <w:r w:rsidR="00D703AD" w:rsidRPr="0095120B">
              <w:rPr>
                <w:rFonts w:ascii="Times New Roman" w:hAnsi="Times New Roman"/>
                <w:lang w:bidi="pl-PL"/>
              </w:rPr>
              <w:t>806</w:t>
            </w:r>
            <w:r w:rsidR="00F0702F">
              <w:t xml:space="preserve"> </w:t>
            </w:r>
            <w:r w:rsidR="00F0702F" w:rsidRPr="00F0702F">
              <w:rPr>
                <w:rFonts w:ascii="Times New Roman" w:hAnsi="Times New Roman"/>
                <w:lang w:bidi="pl-PL"/>
              </w:rPr>
              <w:t>oraz z 2025 r. poz. 408</w:t>
            </w:r>
            <w:r w:rsidR="00F5670D" w:rsidRPr="0095120B">
              <w:rPr>
                <w:rFonts w:ascii="Times New Roman" w:hAnsi="Times New Roman"/>
                <w:lang w:bidi="pl-PL"/>
              </w:rPr>
              <w:t>).</w:t>
            </w:r>
            <w:r w:rsidR="00610720">
              <w:rPr>
                <w:rFonts w:ascii="Times New Roman" w:hAnsi="Times New Roman"/>
                <w:lang w:bidi="pl-PL"/>
              </w:rPr>
              <w:t xml:space="preserve"> </w:t>
            </w:r>
          </w:p>
          <w:p w14:paraId="11C32483" w14:textId="7680CBC5" w:rsidR="00934258" w:rsidRPr="0095120B" w:rsidRDefault="0023077C" w:rsidP="004663A3">
            <w:pPr>
              <w:spacing w:line="240" w:lineRule="auto"/>
              <w:jc w:val="both"/>
              <w:rPr>
                <w:rFonts w:ascii="Times New Roman" w:hAnsi="Times New Roman"/>
                <w:lang w:bidi="pl-PL"/>
              </w:rPr>
            </w:pPr>
            <w:r w:rsidRPr="0095120B">
              <w:rPr>
                <w:rFonts w:ascii="Times New Roman" w:hAnsi="Times New Roman"/>
                <w:lang w:bidi="pl-PL"/>
              </w:rPr>
              <w:t>Wyniki konsultacji publicznych i opiniowania zosta</w:t>
            </w:r>
            <w:r w:rsidR="00022B9D" w:rsidRPr="0095120B">
              <w:rPr>
                <w:rFonts w:ascii="Times New Roman" w:hAnsi="Times New Roman"/>
                <w:lang w:bidi="pl-PL"/>
              </w:rPr>
              <w:t xml:space="preserve">ną </w:t>
            </w:r>
            <w:r w:rsidRPr="0095120B">
              <w:rPr>
                <w:rFonts w:ascii="Times New Roman" w:hAnsi="Times New Roman"/>
                <w:lang w:bidi="pl-PL"/>
              </w:rPr>
              <w:t>omówione w raporcie dołączonym do niniejszej Oceny.</w:t>
            </w:r>
          </w:p>
        </w:tc>
      </w:tr>
      <w:tr w:rsidR="0095120B" w:rsidRPr="0095120B" w14:paraId="63E5A3D2" w14:textId="77777777" w:rsidTr="004663A3">
        <w:trPr>
          <w:trHeight w:val="363"/>
        </w:trPr>
        <w:tc>
          <w:tcPr>
            <w:tcW w:w="10803" w:type="dxa"/>
            <w:gridSpan w:val="27"/>
            <w:shd w:val="clear" w:color="auto" w:fill="99CCFF"/>
            <w:vAlign w:val="center"/>
          </w:tcPr>
          <w:p w14:paraId="23E6AF73" w14:textId="77777777" w:rsidR="00934258" w:rsidRPr="0095120B" w:rsidRDefault="00934258" w:rsidP="00934258">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rPr>
              <w:t xml:space="preserve"> Wpływ na sektor finansów publicznych</w:t>
            </w:r>
          </w:p>
        </w:tc>
      </w:tr>
      <w:tr w:rsidR="0095120B" w:rsidRPr="0095120B" w14:paraId="448AE9C9" w14:textId="77777777" w:rsidTr="006D7335">
        <w:trPr>
          <w:trHeight w:val="142"/>
        </w:trPr>
        <w:tc>
          <w:tcPr>
            <w:tcW w:w="1447" w:type="dxa"/>
            <w:vMerge w:val="restart"/>
            <w:shd w:val="clear" w:color="auto" w:fill="FFFFFF"/>
          </w:tcPr>
          <w:p w14:paraId="7BCA8F58" w14:textId="3847ADDC" w:rsidR="0023077C" w:rsidRPr="0095120B" w:rsidRDefault="00D5007C" w:rsidP="0023077C">
            <w:pPr>
              <w:spacing w:before="40" w:after="40"/>
              <w:rPr>
                <w:rFonts w:ascii="Times New Roman" w:hAnsi="Times New Roman"/>
                <w:i/>
              </w:rPr>
            </w:pPr>
            <w:r w:rsidRPr="00D5007C">
              <w:rPr>
                <w:rFonts w:ascii="Times New Roman" w:hAnsi="Times New Roman"/>
                <w:i/>
              </w:rPr>
              <w:t>(ceny stałe z 2025 r.)</w:t>
            </w:r>
          </w:p>
        </w:tc>
        <w:tc>
          <w:tcPr>
            <w:tcW w:w="9356" w:type="dxa"/>
            <w:gridSpan w:val="26"/>
            <w:tcBorders>
              <w:bottom w:val="single" w:sz="4" w:space="0" w:color="auto"/>
            </w:tcBorders>
            <w:shd w:val="clear" w:color="auto" w:fill="FFFFFF"/>
          </w:tcPr>
          <w:p w14:paraId="24EA1DEE" w14:textId="5C190E97" w:rsidR="0023077C" w:rsidRPr="0095120B" w:rsidRDefault="0023077C" w:rsidP="0023077C">
            <w:pPr>
              <w:spacing w:before="40" w:after="40" w:line="240" w:lineRule="auto"/>
              <w:jc w:val="center"/>
              <w:rPr>
                <w:rFonts w:ascii="Times New Roman" w:hAnsi="Times New Roman"/>
                <w:i/>
                <w:spacing w:val="-2"/>
              </w:rPr>
            </w:pPr>
            <w:r w:rsidRPr="0095120B">
              <w:rPr>
                <w:rFonts w:ascii="Times New Roman" w:hAnsi="Times New Roman"/>
              </w:rPr>
              <w:t>Skutki w okresie 10 lat od wejścia w życie zmian [</w:t>
            </w:r>
            <w:r w:rsidR="00E87390">
              <w:rPr>
                <w:rFonts w:ascii="Times New Roman" w:hAnsi="Times New Roman"/>
              </w:rPr>
              <w:t xml:space="preserve">mln </w:t>
            </w:r>
            <w:r w:rsidRPr="0095120B">
              <w:rPr>
                <w:rFonts w:ascii="Times New Roman" w:hAnsi="Times New Roman"/>
              </w:rPr>
              <w:t>zł]</w:t>
            </w:r>
          </w:p>
        </w:tc>
      </w:tr>
      <w:tr w:rsidR="006D7335" w:rsidRPr="0095120B" w14:paraId="76F1981B" w14:textId="77777777" w:rsidTr="006D7335">
        <w:trPr>
          <w:trHeight w:val="142"/>
        </w:trPr>
        <w:tc>
          <w:tcPr>
            <w:tcW w:w="1447" w:type="dxa"/>
            <w:vMerge/>
            <w:shd w:val="clear" w:color="auto" w:fill="FFFFFF"/>
          </w:tcPr>
          <w:p w14:paraId="203791F2" w14:textId="77777777" w:rsidR="0023077C" w:rsidRPr="0095120B" w:rsidRDefault="0023077C" w:rsidP="0023077C">
            <w:pPr>
              <w:spacing w:before="40" w:after="40" w:line="240" w:lineRule="auto"/>
              <w:rPr>
                <w:rFonts w:ascii="Times New Roman" w:hAnsi="Times New Roman"/>
                <w:i/>
              </w:rPr>
            </w:pPr>
          </w:p>
        </w:tc>
        <w:tc>
          <w:tcPr>
            <w:tcW w:w="691" w:type="dxa"/>
            <w:gridSpan w:val="2"/>
            <w:shd w:val="clear" w:color="auto" w:fill="FFFFFF"/>
            <w:vAlign w:val="center"/>
          </w:tcPr>
          <w:p w14:paraId="0EE6C729" w14:textId="08442A87" w:rsidR="0023077C" w:rsidRPr="0095120B" w:rsidRDefault="0023077C" w:rsidP="00592DD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467325FE" w14:textId="0081E987" w:rsidR="0023077C" w:rsidRPr="0095120B" w:rsidRDefault="0023077C" w:rsidP="00592DD1">
            <w:pPr>
              <w:spacing w:line="240" w:lineRule="auto"/>
              <w:jc w:val="center"/>
              <w:rPr>
                <w:rFonts w:ascii="Times New Roman" w:hAnsi="Times New Roman"/>
              </w:rPr>
            </w:pPr>
            <w:r w:rsidRPr="0095120B">
              <w:rPr>
                <w:rFonts w:ascii="Times New Roman" w:hAnsi="Times New Roman"/>
              </w:rPr>
              <w:t>1</w:t>
            </w:r>
          </w:p>
        </w:tc>
        <w:tc>
          <w:tcPr>
            <w:tcW w:w="733" w:type="dxa"/>
            <w:gridSpan w:val="3"/>
            <w:shd w:val="clear" w:color="auto" w:fill="FFFFFF"/>
            <w:vAlign w:val="center"/>
          </w:tcPr>
          <w:p w14:paraId="4A8560A8" w14:textId="7D3CC055" w:rsidR="0023077C" w:rsidRPr="0095120B" w:rsidRDefault="0023077C" w:rsidP="00592DD1">
            <w:pPr>
              <w:spacing w:line="240" w:lineRule="auto"/>
              <w:jc w:val="center"/>
              <w:rPr>
                <w:rFonts w:ascii="Times New Roman" w:hAnsi="Times New Roman"/>
              </w:rPr>
            </w:pPr>
            <w:r w:rsidRPr="0095120B">
              <w:rPr>
                <w:rFonts w:ascii="Times New Roman" w:hAnsi="Times New Roman"/>
              </w:rPr>
              <w:t>2</w:t>
            </w:r>
          </w:p>
        </w:tc>
        <w:tc>
          <w:tcPr>
            <w:tcW w:w="733" w:type="dxa"/>
            <w:gridSpan w:val="2"/>
            <w:shd w:val="clear" w:color="auto" w:fill="FFFFFF"/>
            <w:vAlign w:val="center"/>
          </w:tcPr>
          <w:p w14:paraId="79D9EFA2" w14:textId="35E2D9B8" w:rsidR="0023077C" w:rsidRPr="0095120B" w:rsidRDefault="0023077C" w:rsidP="00592DD1">
            <w:pPr>
              <w:spacing w:line="240" w:lineRule="auto"/>
              <w:jc w:val="center"/>
              <w:rPr>
                <w:rFonts w:ascii="Times New Roman" w:hAnsi="Times New Roman"/>
              </w:rPr>
            </w:pPr>
            <w:r w:rsidRPr="0095120B">
              <w:rPr>
                <w:rFonts w:ascii="Times New Roman" w:hAnsi="Times New Roman"/>
              </w:rPr>
              <w:t>3</w:t>
            </w:r>
          </w:p>
        </w:tc>
        <w:tc>
          <w:tcPr>
            <w:tcW w:w="733" w:type="dxa"/>
            <w:gridSpan w:val="3"/>
            <w:shd w:val="clear" w:color="auto" w:fill="FFFFFF"/>
            <w:vAlign w:val="center"/>
          </w:tcPr>
          <w:p w14:paraId="38CB1B8E" w14:textId="25C8AF6F" w:rsidR="0023077C" w:rsidRPr="0095120B" w:rsidRDefault="0023077C" w:rsidP="00592DD1">
            <w:pPr>
              <w:spacing w:line="240" w:lineRule="auto"/>
              <w:jc w:val="center"/>
              <w:rPr>
                <w:rFonts w:ascii="Times New Roman" w:hAnsi="Times New Roman"/>
              </w:rPr>
            </w:pPr>
            <w:r w:rsidRPr="0095120B">
              <w:rPr>
                <w:rFonts w:ascii="Times New Roman" w:hAnsi="Times New Roman"/>
              </w:rPr>
              <w:t>4</w:t>
            </w:r>
          </w:p>
        </w:tc>
        <w:tc>
          <w:tcPr>
            <w:tcW w:w="734" w:type="dxa"/>
            <w:gridSpan w:val="2"/>
            <w:shd w:val="clear" w:color="auto" w:fill="FFFFFF"/>
            <w:vAlign w:val="center"/>
          </w:tcPr>
          <w:p w14:paraId="62ECDA3F" w14:textId="374C4E95" w:rsidR="0023077C" w:rsidRPr="0095120B" w:rsidRDefault="0023077C" w:rsidP="00592DD1">
            <w:pPr>
              <w:spacing w:line="240" w:lineRule="auto"/>
              <w:jc w:val="center"/>
              <w:rPr>
                <w:rFonts w:ascii="Times New Roman" w:hAnsi="Times New Roman"/>
              </w:rPr>
            </w:pPr>
            <w:r w:rsidRPr="0095120B">
              <w:rPr>
                <w:rFonts w:ascii="Times New Roman" w:hAnsi="Times New Roman"/>
              </w:rPr>
              <w:t>5</w:t>
            </w:r>
          </w:p>
        </w:tc>
        <w:tc>
          <w:tcPr>
            <w:tcW w:w="737" w:type="dxa"/>
            <w:gridSpan w:val="3"/>
            <w:shd w:val="clear" w:color="auto" w:fill="FFFFFF"/>
            <w:vAlign w:val="center"/>
          </w:tcPr>
          <w:p w14:paraId="337D7D8D" w14:textId="1EF9175E" w:rsidR="0023077C" w:rsidRPr="0095120B" w:rsidRDefault="0023077C" w:rsidP="00592DD1">
            <w:pPr>
              <w:spacing w:line="240" w:lineRule="auto"/>
              <w:jc w:val="center"/>
              <w:rPr>
                <w:rFonts w:ascii="Times New Roman" w:hAnsi="Times New Roman"/>
              </w:rPr>
            </w:pPr>
            <w:r w:rsidRPr="0095120B">
              <w:rPr>
                <w:rFonts w:ascii="Times New Roman" w:hAnsi="Times New Roman"/>
              </w:rPr>
              <w:t>6</w:t>
            </w:r>
          </w:p>
        </w:tc>
        <w:tc>
          <w:tcPr>
            <w:tcW w:w="733" w:type="dxa"/>
            <w:gridSpan w:val="2"/>
            <w:shd w:val="clear" w:color="auto" w:fill="FFFFFF"/>
            <w:vAlign w:val="center"/>
          </w:tcPr>
          <w:p w14:paraId="70465BD1" w14:textId="507FE60F" w:rsidR="0023077C" w:rsidRPr="0095120B" w:rsidRDefault="0023077C" w:rsidP="00592DD1">
            <w:pPr>
              <w:spacing w:line="240" w:lineRule="auto"/>
              <w:jc w:val="center"/>
              <w:rPr>
                <w:rFonts w:ascii="Times New Roman" w:hAnsi="Times New Roman"/>
              </w:rPr>
            </w:pPr>
            <w:r w:rsidRPr="0095120B">
              <w:rPr>
                <w:rFonts w:ascii="Times New Roman" w:hAnsi="Times New Roman"/>
              </w:rPr>
              <w:t>7</w:t>
            </w:r>
          </w:p>
        </w:tc>
        <w:tc>
          <w:tcPr>
            <w:tcW w:w="733" w:type="dxa"/>
            <w:gridSpan w:val="3"/>
            <w:shd w:val="clear" w:color="auto" w:fill="FFFFFF"/>
            <w:vAlign w:val="center"/>
          </w:tcPr>
          <w:p w14:paraId="563D59B6" w14:textId="6C074B13" w:rsidR="0023077C" w:rsidRPr="0095120B" w:rsidRDefault="0023077C" w:rsidP="00592DD1">
            <w:pPr>
              <w:spacing w:line="240" w:lineRule="auto"/>
              <w:jc w:val="center"/>
              <w:rPr>
                <w:rFonts w:ascii="Times New Roman" w:hAnsi="Times New Roman"/>
              </w:rPr>
            </w:pPr>
            <w:r w:rsidRPr="0095120B">
              <w:rPr>
                <w:rFonts w:ascii="Times New Roman" w:hAnsi="Times New Roman"/>
              </w:rPr>
              <w:t>8</w:t>
            </w:r>
          </w:p>
        </w:tc>
        <w:tc>
          <w:tcPr>
            <w:tcW w:w="733" w:type="dxa"/>
            <w:gridSpan w:val="2"/>
            <w:shd w:val="clear" w:color="auto" w:fill="FFFFFF"/>
            <w:vAlign w:val="center"/>
          </w:tcPr>
          <w:p w14:paraId="0AA76D78" w14:textId="6F7B5FA9" w:rsidR="0023077C" w:rsidRPr="0095120B" w:rsidRDefault="0023077C" w:rsidP="00592DD1">
            <w:pPr>
              <w:spacing w:line="240" w:lineRule="auto"/>
              <w:jc w:val="center"/>
              <w:rPr>
                <w:rFonts w:ascii="Times New Roman" w:hAnsi="Times New Roman"/>
              </w:rPr>
            </w:pPr>
            <w:r w:rsidRPr="0095120B">
              <w:rPr>
                <w:rFonts w:ascii="Times New Roman" w:hAnsi="Times New Roman"/>
              </w:rPr>
              <w:t>9</w:t>
            </w:r>
          </w:p>
        </w:tc>
        <w:tc>
          <w:tcPr>
            <w:tcW w:w="734" w:type="dxa"/>
            <w:shd w:val="clear" w:color="auto" w:fill="FFFFFF"/>
            <w:vAlign w:val="center"/>
          </w:tcPr>
          <w:p w14:paraId="541F399C" w14:textId="2229ADF5" w:rsidR="0023077C" w:rsidRPr="0095120B" w:rsidRDefault="0023077C" w:rsidP="00592DD1">
            <w:pPr>
              <w:spacing w:line="240" w:lineRule="auto"/>
              <w:jc w:val="center"/>
              <w:rPr>
                <w:rFonts w:ascii="Times New Roman" w:hAnsi="Times New Roman"/>
              </w:rPr>
            </w:pPr>
            <w:r w:rsidRPr="0095120B">
              <w:rPr>
                <w:rFonts w:ascii="Times New Roman" w:hAnsi="Times New Roman"/>
              </w:rPr>
              <w:t>10</w:t>
            </w:r>
          </w:p>
        </w:tc>
        <w:tc>
          <w:tcPr>
            <w:tcW w:w="1329" w:type="dxa"/>
            <w:shd w:val="clear" w:color="auto" w:fill="FFFFFF"/>
          </w:tcPr>
          <w:p w14:paraId="4CF1E52C" w14:textId="7F7C721B" w:rsidR="0023077C" w:rsidRPr="0095120B" w:rsidRDefault="0023077C" w:rsidP="0023077C">
            <w:pPr>
              <w:spacing w:before="40" w:after="40" w:line="240" w:lineRule="auto"/>
              <w:jc w:val="center"/>
              <w:rPr>
                <w:rFonts w:ascii="Times New Roman" w:hAnsi="Times New Roman"/>
                <w:i/>
                <w:spacing w:val="-2"/>
              </w:rPr>
            </w:pPr>
            <w:r w:rsidRPr="0095120B">
              <w:rPr>
                <w:rFonts w:ascii="Times New Roman" w:hAnsi="Times New Roman"/>
                <w:i/>
                <w:spacing w:val="-2"/>
              </w:rPr>
              <w:t>Łącznie (0-10)</w:t>
            </w:r>
          </w:p>
        </w:tc>
      </w:tr>
      <w:tr w:rsidR="00D5007C" w:rsidRPr="0095120B" w14:paraId="65A8DB0A" w14:textId="77777777" w:rsidTr="00AA6F40">
        <w:trPr>
          <w:trHeight w:val="321"/>
        </w:trPr>
        <w:tc>
          <w:tcPr>
            <w:tcW w:w="1447" w:type="dxa"/>
            <w:shd w:val="clear" w:color="auto" w:fill="FFFFFF"/>
            <w:vAlign w:val="center"/>
          </w:tcPr>
          <w:p w14:paraId="2D653CD2" w14:textId="7F30DF78" w:rsidR="00D5007C" w:rsidRPr="0095120B" w:rsidRDefault="00D5007C" w:rsidP="00D5007C">
            <w:pPr>
              <w:spacing w:line="240" w:lineRule="auto"/>
              <w:rPr>
                <w:rFonts w:ascii="Times New Roman" w:hAnsi="Times New Roman"/>
              </w:rPr>
            </w:pPr>
            <w:r w:rsidRPr="0095120B">
              <w:rPr>
                <w:rFonts w:ascii="Times New Roman" w:hAnsi="Times New Roman"/>
                <w:b/>
              </w:rPr>
              <w:t>Dochody ogółem</w:t>
            </w:r>
          </w:p>
        </w:tc>
        <w:tc>
          <w:tcPr>
            <w:tcW w:w="691" w:type="dxa"/>
            <w:gridSpan w:val="2"/>
            <w:shd w:val="clear" w:color="auto" w:fill="FFFFFF"/>
            <w:vAlign w:val="center"/>
          </w:tcPr>
          <w:p w14:paraId="1FDB0541" w14:textId="559B02F6"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30655499" w14:textId="7FDDC3D8"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3A6B3E16" w14:textId="79AF2C60"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3F3996ED" w14:textId="50466944"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1F5FE023" w14:textId="3841426D"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3C26509E" w14:textId="3A9E1894"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24EF9631" w14:textId="5E21BC75"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166192A5" w14:textId="4F47B469"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38438A4D" w14:textId="0CE10D2B"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121D74F5" w14:textId="30C2E91D"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0F1C8B56" w14:textId="4075C3BE"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vAlign w:val="center"/>
          </w:tcPr>
          <w:p w14:paraId="551A1BC9" w14:textId="00E3316F" w:rsidR="00D5007C" w:rsidRPr="0095120B" w:rsidRDefault="00D5007C" w:rsidP="00D5007C">
            <w:pPr>
              <w:spacing w:line="240" w:lineRule="auto"/>
              <w:rPr>
                <w:rFonts w:ascii="Times New Roman" w:hAnsi="Times New Roman"/>
                <w:spacing w:val="-2"/>
              </w:rPr>
            </w:pPr>
            <w:r w:rsidRPr="0095120B">
              <w:rPr>
                <w:rFonts w:ascii="Times New Roman" w:hAnsi="Times New Roman"/>
                <w:spacing w:val="-2"/>
              </w:rPr>
              <w:t>0</w:t>
            </w:r>
          </w:p>
        </w:tc>
      </w:tr>
      <w:tr w:rsidR="006D7335" w:rsidRPr="0095120B" w14:paraId="47EA3A0F" w14:textId="77777777" w:rsidTr="006D7335">
        <w:trPr>
          <w:trHeight w:val="321"/>
        </w:trPr>
        <w:tc>
          <w:tcPr>
            <w:tcW w:w="1447" w:type="dxa"/>
            <w:shd w:val="clear" w:color="auto" w:fill="FFFFFF"/>
            <w:vAlign w:val="center"/>
          </w:tcPr>
          <w:p w14:paraId="19E7F37D" w14:textId="6C250A51" w:rsidR="00BE5E2A" w:rsidRPr="0095120B" w:rsidRDefault="00BE5E2A" w:rsidP="00BE5E2A">
            <w:pPr>
              <w:spacing w:line="240" w:lineRule="auto"/>
              <w:rPr>
                <w:rFonts w:ascii="Times New Roman" w:hAnsi="Times New Roman"/>
              </w:rPr>
            </w:pPr>
            <w:r w:rsidRPr="0095120B">
              <w:rPr>
                <w:rFonts w:ascii="Times New Roman" w:hAnsi="Times New Roman"/>
              </w:rPr>
              <w:t>budżet państwa</w:t>
            </w:r>
          </w:p>
        </w:tc>
        <w:tc>
          <w:tcPr>
            <w:tcW w:w="691" w:type="dxa"/>
            <w:gridSpan w:val="2"/>
            <w:shd w:val="clear" w:color="auto" w:fill="FFFFFF"/>
            <w:vAlign w:val="center"/>
          </w:tcPr>
          <w:p w14:paraId="7274C89D" w14:textId="057F2D45" w:rsidR="00BE5E2A" w:rsidRPr="0095120B" w:rsidRDefault="00465CEB"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054136CF" w14:textId="77368E54"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31E05BC5" w14:textId="02FF3676"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072D73BB" w14:textId="13D90FC8"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75BD7445" w14:textId="093F2701"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002262C5" w14:textId="56C81672"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4233E207" w14:textId="5511FF63"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5B7304CE" w14:textId="2E7F48FD"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668C2807" w14:textId="641FEB73"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29E8828A" w14:textId="379876F1"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57E4B47C" w14:textId="6F17BF0F" w:rsidR="00BE5E2A" w:rsidRPr="0095120B" w:rsidRDefault="00443926" w:rsidP="00A630B1">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vAlign w:val="center"/>
          </w:tcPr>
          <w:p w14:paraId="7BECD667" w14:textId="2584710B" w:rsidR="00BE5E2A" w:rsidRPr="0095120B" w:rsidRDefault="00BE5E2A" w:rsidP="00BE5E2A">
            <w:pPr>
              <w:spacing w:line="240" w:lineRule="auto"/>
              <w:rPr>
                <w:rFonts w:ascii="Times New Roman" w:hAnsi="Times New Roman"/>
                <w:spacing w:val="-2"/>
              </w:rPr>
            </w:pPr>
            <w:r w:rsidRPr="0095120B">
              <w:rPr>
                <w:rFonts w:ascii="Times New Roman" w:hAnsi="Times New Roman"/>
                <w:spacing w:val="-2"/>
              </w:rPr>
              <w:t>0</w:t>
            </w:r>
          </w:p>
        </w:tc>
      </w:tr>
      <w:tr w:rsidR="006D7335" w:rsidRPr="0095120B" w14:paraId="08E3097B" w14:textId="77777777" w:rsidTr="006D7335">
        <w:trPr>
          <w:trHeight w:val="321"/>
        </w:trPr>
        <w:tc>
          <w:tcPr>
            <w:tcW w:w="1447" w:type="dxa"/>
            <w:shd w:val="clear" w:color="auto" w:fill="FFFFFF"/>
            <w:vAlign w:val="center"/>
          </w:tcPr>
          <w:p w14:paraId="3E2DD878" w14:textId="343C75F4" w:rsidR="00B03CA0" w:rsidRPr="0095120B" w:rsidRDefault="00FA7AE6" w:rsidP="00BE5E2A">
            <w:pPr>
              <w:spacing w:line="240" w:lineRule="auto"/>
              <w:rPr>
                <w:rFonts w:ascii="Times New Roman" w:hAnsi="Times New Roman"/>
              </w:rPr>
            </w:pPr>
            <w:r w:rsidRPr="0095120B">
              <w:rPr>
                <w:rFonts w:ascii="Times New Roman" w:hAnsi="Times New Roman"/>
              </w:rPr>
              <w:t>JST</w:t>
            </w:r>
          </w:p>
        </w:tc>
        <w:tc>
          <w:tcPr>
            <w:tcW w:w="691" w:type="dxa"/>
            <w:gridSpan w:val="2"/>
            <w:shd w:val="clear" w:color="auto" w:fill="FFFFFF"/>
            <w:vAlign w:val="center"/>
          </w:tcPr>
          <w:p w14:paraId="7FD65945" w14:textId="2C695C7F" w:rsidR="00B03CA0" w:rsidRPr="0095120B" w:rsidRDefault="00B03CA0"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5D2B9890" w14:textId="249062B6"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6C88A6C0" w14:textId="5832A7E4"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5171F6CE" w14:textId="369D855E"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1C161BC6" w14:textId="5AAA6336"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173433BA" w14:textId="673EAC94"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48B13445" w14:textId="53607FBF"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512F22C4" w14:textId="1860BAB3"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1855A208" w14:textId="3C15973F"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2835C4CE" w14:textId="5C2CC1D9"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31CBD9A5" w14:textId="07AE5095" w:rsidR="00B03CA0" w:rsidRPr="0095120B" w:rsidRDefault="0039668D" w:rsidP="00A630B1">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vAlign w:val="center"/>
          </w:tcPr>
          <w:p w14:paraId="74695B5E" w14:textId="11F9F0D0" w:rsidR="00B03CA0" w:rsidRPr="0095120B" w:rsidRDefault="0039668D" w:rsidP="00BE5E2A">
            <w:pPr>
              <w:spacing w:line="240" w:lineRule="auto"/>
              <w:rPr>
                <w:rFonts w:ascii="Times New Roman" w:hAnsi="Times New Roman"/>
                <w:spacing w:val="-2"/>
              </w:rPr>
            </w:pPr>
            <w:r w:rsidRPr="0095120B">
              <w:rPr>
                <w:rFonts w:ascii="Times New Roman" w:hAnsi="Times New Roman"/>
                <w:spacing w:val="-2"/>
              </w:rPr>
              <w:t>0</w:t>
            </w:r>
          </w:p>
        </w:tc>
      </w:tr>
      <w:tr w:rsidR="00D5007C" w:rsidRPr="0095120B" w14:paraId="17A66D75" w14:textId="77777777" w:rsidTr="00AA6F40">
        <w:trPr>
          <w:trHeight w:val="321"/>
        </w:trPr>
        <w:tc>
          <w:tcPr>
            <w:tcW w:w="1447" w:type="dxa"/>
            <w:shd w:val="clear" w:color="auto" w:fill="FFFFFF"/>
            <w:vAlign w:val="center"/>
          </w:tcPr>
          <w:p w14:paraId="43E9B8FF" w14:textId="4C0C0A40" w:rsidR="00D5007C" w:rsidRPr="0095120B" w:rsidRDefault="00D5007C" w:rsidP="00D5007C">
            <w:pPr>
              <w:spacing w:line="240" w:lineRule="auto"/>
              <w:rPr>
                <w:rFonts w:ascii="Times New Roman" w:hAnsi="Times New Roman"/>
              </w:rPr>
            </w:pPr>
            <w:r w:rsidRPr="0095120B">
              <w:rPr>
                <w:rFonts w:ascii="Times New Roman" w:hAnsi="Times New Roman"/>
              </w:rPr>
              <w:t>NFZ</w:t>
            </w:r>
          </w:p>
        </w:tc>
        <w:tc>
          <w:tcPr>
            <w:tcW w:w="691" w:type="dxa"/>
            <w:gridSpan w:val="2"/>
            <w:shd w:val="clear" w:color="auto" w:fill="FFFFFF"/>
            <w:vAlign w:val="center"/>
          </w:tcPr>
          <w:p w14:paraId="786AF68F" w14:textId="2324CB96"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3A81C9AE" w14:textId="4CC35B5A"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2022EA42" w14:textId="40EF9B94"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7681BBD7" w14:textId="306BCA80"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6A102D73" w14:textId="0257C3D2"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09AC88D8" w14:textId="2776EAE1"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3B0A87CF" w14:textId="3F57C199"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1E08D2AA" w14:textId="486EF2E9"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53867BA7" w14:textId="67D362AA"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6942A2D6" w14:textId="600C1AB1"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3C6DDE88" w14:textId="143D881C" w:rsidR="00D5007C" w:rsidRPr="0095120B" w:rsidRDefault="00D5007C" w:rsidP="00D5007C">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vAlign w:val="center"/>
          </w:tcPr>
          <w:p w14:paraId="5DFEEBBC" w14:textId="3BA2AF1E" w:rsidR="00D5007C" w:rsidRPr="0095120B" w:rsidRDefault="00D5007C" w:rsidP="00D5007C">
            <w:pPr>
              <w:spacing w:line="240" w:lineRule="auto"/>
              <w:rPr>
                <w:rFonts w:ascii="Times New Roman" w:hAnsi="Times New Roman"/>
                <w:spacing w:val="-2"/>
              </w:rPr>
            </w:pPr>
            <w:r w:rsidRPr="0095120B">
              <w:rPr>
                <w:rFonts w:ascii="Times New Roman" w:hAnsi="Times New Roman"/>
                <w:spacing w:val="-2"/>
              </w:rPr>
              <w:t>0</w:t>
            </w:r>
          </w:p>
        </w:tc>
      </w:tr>
      <w:tr w:rsidR="00694803" w:rsidRPr="0095120B" w14:paraId="36A13627" w14:textId="77777777" w:rsidTr="006D7335">
        <w:trPr>
          <w:trHeight w:val="351"/>
        </w:trPr>
        <w:tc>
          <w:tcPr>
            <w:tcW w:w="1447" w:type="dxa"/>
            <w:shd w:val="clear" w:color="auto" w:fill="FFFFFF"/>
            <w:vAlign w:val="center"/>
          </w:tcPr>
          <w:p w14:paraId="3A06D62C" w14:textId="1EA5E5B5" w:rsidR="00694803" w:rsidRPr="0095120B" w:rsidRDefault="00694803" w:rsidP="00694803">
            <w:pPr>
              <w:spacing w:line="240" w:lineRule="auto"/>
              <w:rPr>
                <w:rFonts w:ascii="Times New Roman" w:hAnsi="Times New Roman"/>
              </w:rPr>
            </w:pPr>
            <w:r w:rsidRPr="0095120B">
              <w:rPr>
                <w:rFonts w:ascii="Times New Roman" w:hAnsi="Times New Roman"/>
                <w:b/>
              </w:rPr>
              <w:t>Wydatki ogółem</w:t>
            </w:r>
          </w:p>
        </w:tc>
        <w:tc>
          <w:tcPr>
            <w:tcW w:w="691" w:type="dxa"/>
            <w:gridSpan w:val="2"/>
            <w:tcBorders>
              <w:top w:val="single" w:sz="4" w:space="0" w:color="auto"/>
              <w:right w:val="single" w:sz="4" w:space="0" w:color="auto"/>
            </w:tcBorders>
            <w:shd w:val="clear" w:color="auto" w:fill="FFFFFF"/>
            <w:vAlign w:val="center"/>
          </w:tcPr>
          <w:p w14:paraId="3353196C" w14:textId="2734CFFB" w:rsidR="00694803" w:rsidRPr="0095120B" w:rsidRDefault="00694803" w:rsidP="00694803">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tcPr>
          <w:p w14:paraId="160309FF" w14:textId="7F27695A" w:rsidR="00694803" w:rsidRPr="0095120B" w:rsidRDefault="00694803" w:rsidP="00694803">
            <w:pPr>
              <w:spacing w:line="240" w:lineRule="auto"/>
              <w:jc w:val="center"/>
              <w:rPr>
                <w:rFonts w:ascii="Times New Roman" w:hAnsi="Times New Roman"/>
              </w:rPr>
            </w:pPr>
            <w:r w:rsidRPr="009D2FB9">
              <w:t>168,71</w:t>
            </w:r>
          </w:p>
        </w:tc>
        <w:tc>
          <w:tcPr>
            <w:tcW w:w="733" w:type="dxa"/>
            <w:gridSpan w:val="3"/>
            <w:shd w:val="clear" w:color="auto" w:fill="FFFFFF"/>
          </w:tcPr>
          <w:p w14:paraId="0DA3333D" w14:textId="253462C1" w:rsidR="00694803" w:rsidRPr="0095120B" w:rsidRDefault="00694803" w:rsidP="00694803">
            <w:pPr>
              <w:spacing w:line="240" w:lineRule="auto"/>
              <w:jc w:val="center"/>
              <w:rPr>
                <w:rFonts w:ascii="Times New Roman" w:hAnsi="Times New Roman"/>
              </w:rPr>
            </w:pPr>
            <w:r w:rsidRPr="009D2FB9">
              <w:t>142,94</w:t>
            </w:r>
          </w:p>
        </w:tc>
        <w:tc>
          <w:tcPr>
            <w:tcW w:w="733" w:type="dxa"/>
            <w:gridSpan w:val="2"/>
            <w:shd w:val="clear" w:color="auto" w:fill="FFFFFF"/>
          </w:tcPr>
          <w:p w14:paraId="48F15618" w14:textId="2BF49260" w:rsidR="00694803" w:rsidRPr="0095120B" w:rsidRDefault="00694803" w:rsidP="00694803">
            <w:pPr>
              <w:spacing w:line="240" w:lineRule="auto"/>
              <w:jc w:val="center"/>
              <w:rPr>
                <w:rFonts w:ascii="Times New Roman" w:hAnsi="Times New Roman"/>
              </w:rPr>
            </w:pPr>
            <w:r w:rsidRPr="009D2FB9">
              <w:t>98,21</w:t>
            </w:r>
            <w:r>
              <w:t xml:space="preserve"> </w:t>
            </w:r>
          </w:p>
        </w:tc>
        <w:tc>
          <w:tcPr>
            <w:tcW w:w="733" w:type="dxa"/>
            <w:gridSpan w:val="3"/>
            <w:shd w:val="clear" w:color="auto" w:fill="FFFFFF"/>
          </w:tcPr>
          <w:p w14:paraId="6D80B3A1" w14:textId="7ED716E2" w:rsidR="00694803" w:rsidRPr="0095120B" w:rsidRDefault="00694803" w:rsidP="00694803">
            <w:pPr>
              <w:spacing w:line="240" w:lineRule="auto"/>
              <w:jc w:val="center"/>
              <w:rPr>
                <w:rFonts w:ascii="Times New Roman" w:hAnsi="Times New Roman"/>
              </w:rPr>
            </w:pPr>
            <w:r w:rsidRPr="009D2FB9">
              <w:t>58,3</w:t>
            </w:r>
          </w:p>
        </w:tc>
        <w:tc>
          <w:tcPr>
            <w:tcW w:w="734" w:type="dxa"/>
            <w:gridSpan w:val="2"/>
            <w:shd w:val="clear" w:color="auto" w:fill="FFFFFF"/>
          </w:tcPr>
          <w:p w14:paraId="7D780A51" w14:textId="3BA4947F" w:rsidR="00694803" w:rsidRPr="0095120B" w:rsidRDefault="00694803" w:rsidP="00AA6F40">
            <w:pPr>
              <w:spacing w:line="240" w:lineRule="auto"/>
              <w:rPr>
                <w:rFonts w:ascii="Times New Roman" w:hAnsi="Times New Roman"/>
              </w:rPr>
            </w:pPr>
            <w:r w:rsidRPr="009D2FB9">
              <w:t>58,24</w:t>
            </w:r>
          </w:p>
        </w:tc>
        <w:tc>
          <w:tcPr>
            <w:tcW w:w="737" w:type="dxa"/>
            <w:gridSpan w:val="3"/>
            <w:shd w:val="clear" w:color="auto" w:fill="FFFFFF"/>
          </w:tcPr>
          <w:p w14:paraId="0130B5BF" w14:textId="7072F2F7" w:rsidR="00694803" w:rsidRPr="0095120B" w:rsidRDefault="00694803" w:rsidP="00694803">
            <w:pPr>
              <w:spacing w:line="240" w:lineRule="auto"/>
              <w:jc w:val="center"/>
              <w:rPr>
                <w:rFonts w:ascii="Times New Roman" w:hAnsi="Times New Roman"/>
              </w:rPr>
            </w:pPr>
            <w:r w:rsidRPr="009D2FB9">
              <w:t>61,75</w:t>
            </w:r>
          </w:p>
        </w:tc>
        <w:tc>
          <w:tcPr>
            <w:tcW w:w="733" w:type="dxa"/>
            <w:gridSpan w:val="2"/>
            <w:shd w:val="clear" w:color="auto" w:fill="FFFFFF"/>
          </w:tcPr>
          <w:p w14:paraId="44B91EA7" w14:textId="1E95118A" w:rsidR="00694803" w:rsidRPr="0095120B" w:rsidRDefault="00694803" w:rsidP="00694803">
            <w:pPr>
              <w:spacing w:line="240" w:lineRule="auto"/>
              <w:jc w:val="center"/>
              <w:rPr>
                <w:rFonts w:ascii="Times New Roman" w:hAnsi="Times New Roman"/>
              </w:rPr>
            </w:pPr>
            <w:r w:rsidRPr="009D2FB9">
              <w:t>58,29</w:t>
            </w:r>
          </w:p>
        </w:tc>
        <w:tc>
          <w:tcPr>
            <w:tcW w:w="733" w:type="dxa"/>
            <w:gridSpan w:val="3"/>
            <w:shd w:val="clear" w:color="auto" w:fill="FFFFFF"/>
          </w:tcPr>
          <w:p w14:paraId="0CD9C457" w14:textId="2E60B8E2" w:rsidR="00694803" w:rsidRPr="0095120B" w:rsidRDefault="00694803" w:rsidP="00694803">
            <w:pPr>
              <w:spacing w:line="240" w:lineRule="auto"/>
              <w:jc w:val="center"/>
              <w:rPr>
                <w:rFonts w:ascii="Times New Roman" w:hAnsi="Times New Roman"/>
              </w:rPr>
            </w:pPr>
            <w:r w:rsidRPr="009D2FB9">
              <w:t>58,31</w:t>
            </w:r>
          </w:p>
        </w:tc>
        <w:tc>
          <w:tcPr>
            <w:tcW w:w="733" w:type="dxa"/>
            <w:gridSpan w:val="2"/>
            <w:shd w:val="clear" w:color="auto" w:fill="FFFFFF"/>
          </w:tcPr>
          <w:p w14:paraId="194DEA1E" w14:textId="019ADF11" w:rsidR="00694803" w:rsidRPr="0095120B" w:rsidRDefault="00694803" w:rsidP="00694803">
            <w:pPr>
              <w:spacing w:line="240" w:lineRule="auto"/>
              <w:jc w:val="center"/>
              <w:rPr>
                <w:rFonts w:ascii="Times New Roman" w:hAnsi="Times New Roman"/>
              </w:rPr>
            </w:pPr>
            <w:r w:rsidRPr="009D2FB9">
              <w:t>58,34</w:t>
            </w:r>
          </w:p>
        </w:tc>
        <w:tc>
          <w:tcPr>
            <w:tcW w:w="734" w:type="dxa"/>
            <w:shd w:val="clear" w:color="auto" w:fill="FFFFFF"/>
          </w:tcPr>
          <w:p w14:paraId="5D1B3054" w14:textId="2CF27618" w:rsidR="00694803" w:rsidRPr="0095120B" w:rsidRDefault="00694803" w:rsidP="00694803">
            <w:pPr>
              <w:spacing w:line="240" w:lineRule="auto"/>
              <w:jc w:val="center"/>
              <w:rPr>
                <w:rFonts w:ascii="Times New Roman" w:hAnsi="Times New Roman"/>
              </w:rPr>
            </w:pPr>
            <w:r w:rsidRPr="009D2FB9">
              <w:t>58,36</w:t>
            </w:r>
          </w:p>
        </w:tc>
        <w:tc>
          <w:tcPr>
            <w:tcW w:w="1329" w:type="dxa"/>
            <w:shd w:val="clear" w:color="auto" w:fill="FFFFFF"/>
          </w:tcPr>
          <w:p w14:paraId="7719DF87" w14:textId="33162722" w:rsidR="00694803" w:rsidRPr="0095120B" w:rsidRDefault="00694803" w:rsidP="00694803">
            <w:pPr>
              <w:spacing w:line="240" w:lineRule="auto"/>
              <w:rPr>
                <w:rFonts w:ascii="Times New Roman" w:hAnsi="Times New Roman"/>
              </w:rPr>
            </w:pPr>
            <w:r w:rsidRPr="009D2FB9">
              <w:t>821,45</w:t>
            </w:r>
          </w:p>
        </w:tc>
      </w:tr>
      <w:tr w:rsidR="00694803" w:rsidRPr="0095120B" w14:paraId="130F9300" w14:textId="77777777" w:rsidTr="006D7335">
        <w:trPr>
          <w:trHeight w:val="360"/>
        </w:trPr>
        <w:tc>
          <w:tcPr>
            <w:tcW w:w="1447" w:type="dxa"/>
            <w:shd w:val="clear" w:color="auto" w:fill="FFFFFF"/>
            <w:vAlign w:val="center"/>
          </w:tcPr>
          <w:p w14:paraId="61A75699" w14:textId="36B10998" w:rsidR="00694803" w:rsidRPr="0095120B" w:rsidRDefault="00694803" w:rsidP="00694803">
            <w:pPr>
              <w:spacing w:line="240" w:lineRule="auto"/>
              <w:rPr>
                <w:rFonts w:ascii="Times New Roman" w:hAnsi="Times New Roman"/>
              </w:rPr>
            </w:pPr>
            <w:r w:rsidRPr="0095120B">
              <w:rPr>
                <w:rFonts w:ascii="Times New Roman" w:hAnsi="Times New Roman"/>
              </w:rPr>
              <w:t>budżet państwa</w:t>
            </w:r>
          </w:p>
        </w:tc>
        <w:tc>
          <w:tcPr>
            <w:tcW w:w="691" w:type="dxa"/>
            <w:gridSpan w:val="2"/>
            <w:shd w:val="clear" w:color="auto" w:fill="FFFFFF"/>
            <w:vAlign w:val="center"/>
          </w:tcPr>
          <w:p w14:paraId="6BB22304" w14:textId="2AC4BA00" w:rsidR="00694803" w:rsidRPr="0095120B" w:rsidRDefault="00694803" w:rsidP="00694803">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tcPr>
          <w:p w14:paraId="2BF63ED3" w14:textId="26BB2041" w:rsidR="00694803" w:rsidRPr="0095120B" w:rsidRDefault="00694803" w:rsidP="00694803">
            <w:pPr>
              <w:spacing w:line="240" w:lineRule="auto"/>
              <w:jc w:val="center"/>
              <w:rPr>
                <w:rFonts w:ascii="Times New Roman" w:hAnsi="Times New Roman"/>
              </w:rPr>
            </w:pPr>
            <w:r w:rsidRPr="005E31B5">
              <w:t>14,06</w:t>
            </w:r>
          </w:p>
        </w:tc>
        <w:tc>
          <w:tcPr>
            <w:tcW w:w="733" w:type="dxa"/>
            <w:gridSpan w:val="3"/>
            <w:shd w:val="clear" w:color="auto" w:fill="FFFFFF"/>
          </w:tcPr>
          <w:p w14:paraId="20D4ED8F" w14:textId="3C602DC7" w:rsidR="00694803" w:rsidRPr="0095120B" w:rsidRDefault="00694803" w:rsidP="00694803">
            <w:pPr>
              <w:spacing w:line="240" w:lineRule="auto"/>
              <w:jc w:val="center"/>
              <w:rPr>
                <w:rFonts w:ascii="Times New Roman" w:hAnsi="Times New Roman"/>
              </w:rPr>
            </w:pPr>
            <w:r w:rsidRPr="005E31B5">
              <w:t>22,29</w:t>
            </w:r>
          </w:p>
        </w:tc>
        <w:tc>
          <w:tcPr>
            <w:tcW w:w="733" w:type="dxa"/>
            <w:gridSpan w:val="2"/>
            <w:shd w:val="clear" w:color="auto" w:fill="FFFFFF"/>
          </w:tcPr>
          <w:p w14:paraId="23AA56AD" w14:textId="4B9A323B" w:rsidR="00694803" w:rsidRPr="0095120B" w:rsidRDefault="00694803" w:rsidP="00694803">
            <w:pPr>
              <w:spacing w:line="240" w:lineRule="auto"/>
              <w:jc w:val="center"/>
              <w:rPr>
                <w:rFonts w:ascii="Times New Roman" w:hAnsi="Times New Roman"/>
              </w:rPr>
            </w:pPr>
            <w:r w:rsidRPr="005E31B5">
              <w:t>10,56</w:t>
            </w:r>
          </w:p>
        </w:tc>
        <w:tc>
          <w:tcPr>
            <w:tcW w:w="733" w:type="dxa"/>
            <w:gridSpan w:val="3"/>
            <w:shd w:val="clear" w:color="auto" w:fill="FFFFFF"/>
          </w:tcPr>
          <w:p w14:paraId="58CBE883" w14:textId="2968330E" w:rsidR="00694803" w:rsidRPr="0095120B" w:rsidRDefault="00694803" w:rsidP="00694803">
            <w:pPr>
              <w:spacing w:line="240" w:lineRule="auto"/>
              <w:jc w:val="center"/>
              <w:rPr>
                <w:rFonts w:ascii="Times New Roman" w:hAnsi="Times New Roman"/>
              </w:rPr>
            </w:pPr>
            <w:r w:rsidRPr="005E31B5">
              <w:t>3,65</w:t>
            </w:r>
          </w:p>
        </w:tc>
        <w:tc>
          <w:tcPr>
            <w:tcW w:w="734" w:type="dxa"/>
            <w:gridSpan w:val="2"/>
            <w:shd w:val="clear" w:color="auto" w:fill="FFFFFF"/>
          </w:tcPr>
          <w:p w14:paraId="21A3D63D" w14:textId="57CD3311" w:rsidR="00694803" w:rsidRPr="0095120B" w:rsidRDefault="00694803" w:rsidP="00694803">
            <w:pPr>
              <w:spacing w:line="240" w:lineRule="auto"/>
              <w:jc w:val="center"/>
              <w:rPr>
                <w:rFonts w:ascii="Times New Roman" w:hAnsi="Times New Roman"/>
              </w:rPr>
            </w:pPr>
            <w:r w:rsidRPr="005E31B5">
              <w:t>3,59</w:t>
            </w:r>
          </w:p>
        </w:tc>
        <w:tc>
          <w:tcPr>
            <w:tcW w:w="737" w:type="dxa"/>
            <w:gridSpan w:val="3"/>
            <w:shd w:val="clear" w:color="auto" w:fill="FFFFFF"/>
          </w:tcPr>
          <w:p w14:paraId="255EA42D" w14:textId="384AB90F" w:rsidR="00694803" w:rsidRPr="0095120B" w:rsidRDefault="00694803" w:rsidP="00694803">
            <w:pPr>
              <w:spacing w:line="240" w:lineRule="auto"/>
              <w:jc w:val="center"/>
              <w:rPr>
                <w:rFonts w:ascii="Times New Roman" w:hAnsi="Times New Roman"/>
              </w:rPr>
            </w:pPr>
            <w:r w:rsidRPr="005E31B5">
              <w:t>7,1</w:t>
            </w:r>
          </w:p>
        </w:tc>
        <w:tc>
          <w:tcPr>
            <w:tcW w:w="733" w:type="dxa"/>
            <w:gridSpan w:val="2"/>
            <w:shd w:val="clear" w:color="auto" w:fill="FFFFFF"/>
          </w:tcPr>
          <w:p w14:paraId="3ACD06CC" w14:textId="12CC3013" w:rsidR="00694803" w:rsidRPr="0095120B" w:rsidRDefault="00694803" w:rsidP="00694803">
            <w:pPr>
              <w:spacing w:line="240" w:lineRule="auto"/>
              <w:jc w:val="center"/>
              <w:rPr>
                <w:rFonts w:ascii="Times New Roman" w:hAnsi="Times New Roman"/>
              </w:rPr>
            </w:pPr>
            <w:r w:rsidRPr="005E31B5">
              <w:t>3,64</w:t>
            </w:r>
          </w:p>
        </w:tc>
        <w:tc>
          <w:tcPr>
            <w:tcW w:w="733" w:type="dxa"/>
            <w:gridSpan w:val="3"/>
            <w:shd w:val="clear" w:color="auto" w:fill="FFFFFF"/>
          </w:tcPr>
          <w:p w14:paraId="668A9FA4" w14:textId="100BA9C2" w:rsidR="00694803" w:rsidRPr="0095120B" w:rsidRDefault="00694803" w:rsidP="00694803">
            <w:pPr>
              <w:spacing w:line="240" w:lineRule="auto"/>
              <w:jc w:val="center"/>
              <w:rPr>
                <w:rFonts w:ascii="Times New Roman" w:hAnsi="Times New Roman"/>
              </w:rPr>
            </w:pPr>
            <w:r w:rsidRPr="005E31B5">
              <w:t>3,66</w:t>
            </w:r>
          </w:p>
        </w:tc>
        <w:tc>
          <w:tcPr>
            <w:tcW w:w="733" w:type="dxa"/>
            <w:gridSpan w:val="2"/>
            <w:shd w:val="clear" w:color="auto" w:fill="FFFFFF"/>
          </w:tcPr>
          <w:p w14:paraId="6F1B471E" w14:textId="7A8E0D08" w:rsidR="00694803" w:rsidRPr="0095120B" w:rsidRDefault="00694803" w:rsidP="00694803">
            <w:pPr>
              <w:spacing w:line="240" w:lineRule="auto"/>
              <w:jc w:val="center"/>
              <w:rPr>
                <w:rFonts w:ascii="Times New Roman" w:hAnsi="Times New Roman"/>
              </w:rPr>
            </w:pPr>
            <w:r w:rsidRPr="005E31B5">
              <w:t>3,69</w:t>
            </w:r>
          </w:p>
        </w:tc>
        <w:tc>
          <w:tcPr>
            <w:tcW w:w="734" w:type="dxa"/>
            <w:shd w:val="clear" w:color="auto" w:fill="FFFFFF"/>
          </w:tcPr>
          <w:p w14:paraId="0484435C" w14:textId="54ED16F0" w:rsidR="00694803" w:rsidRPr="0095120B" w:rsidRDefault="00694803" w:rsidP="00694803">
            <w:pPr>
              <w:spacing w:line="240" w:lineRule="auto"/>
              <w:jc w:val="center"/>
              <w:rPr>
                <w:rFonts w:ascii="Times New Roman" w:hAnsi="Times New Roman"/>
              </w:rPr>
            </w:pPr>
            <w:r w:rsidRPr="005E31B5">
              <w:t>3,71</w:t>
            </w:r>
          </w:p>
        </w:tc>
        <w:tc>
          <w:tcPr>
            <w:tcW w:w="1329" w:type="dxa"/>
            <w:shd w:val="clear" w:color="auto" w:fill="FFFFFF"/>
          </w:tcPr>
          <w:p w14:paraId="6118E4D4" w14:textId="5DE05DF2" w:rsidR="00694803" w:rsidRPr="0095120B" w:rsidRDefault="00694803" w:rsidP="00694803">
            <w:pPr>
              <w:spacing w:line="240" w:lineRule="auto"/>
              <w:rPr>
                <w:rFonts w:ascii="Times New Roman" w:hAnsi="Times New Roman"/>
              </w:rPr>
            </w:pPr>
            <w:r w:rsidRPr="005E31B5">
              <w:t>75,95</w:t>
            </w:r>
          </w:p>
        </w:tc>
      </w:tr>
      <w:tr w:rsidR="006D7335" w:rsidRPr="0095120B" w14:paraId="4B94E617" w14:textId="77777777" w:rsidTr="006D7335">
        <w:trPr>
          <w:trHeight w:val="360"/>
        </w:trPr>
        <w:tc>
          <w:tcPr>
            <w:tcW w:w="1447" w:type="dxa"/>
            <w:shd w:val="clear" w:color="auto" w:fill="FFFFFF"/>
            <w:vAlign w:val="center"/>
          </w:tcPr>
          <w:p w14:paraId="3C96B85B" w14:textId="6651E838" w:rsidR="00B03CA0" w:rsidRPr="0095120B" w:rsidRDefault="00FA7AE6" w:rsidP="00BE5E2A">
            <w:pPr>
              <w:spacing w:line="240" w:lineRule="auto"/>
              <w:rPr>
                <w:rFonts w:ascii="Times New Roman" w:hAnsi="Times New Roman"/>
              </w:rPr>
            </w:pPr>
            <w:r w:rsidRPr="0095120B">
              <w:rPr>
                <w:rFonts w:ascii="Times New Roman" w:hAnsi="Times New Roman"/>
              </w:rPr>
              <w:t>JST</w:t>
            </w:r>
          </w:p>
        </w:tc>
        <w:tc>
          <w:tcPr>
            <w:tcW w:w="691" w:type="dxa"/>
            <w:gridSpan w:val="2"/>
            <w:shd w:val="clear" w:color="auto" w:fill="FFFFFF"/>
            <w:vAlign w:val="center"/>
          </w:tcPr>
          <w:p w14:paraId="7D2B3E1E" w14:textId="368C208D" w:rsidR="00B03CA0" w:rsidRPr="0095120B" w:rsidRDefault="00B03CA0"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7EFAF48A" w14:textId="5EDC93DB"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7C8444D8" w14:textId="2FE2BB9F"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79521644" w14:textId="6A6883A8"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5D2D1C06" w14:textId="0973A2D1"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2698EC9F" w14:textId="79FC2116"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53BA4C74" w14:textId="1D57A213"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2D13DCED" w14:textId="74753537"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6E0F4151" w14:textId="6B50F62F"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5A49BCBB" w14:textId="7E45C402"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59DA38F5" w14:textId="4EA79883" w:rsidR="00B03CA0" w:rsidRPr="0095120B" w:rsidRDefault="00232B06" w:rsidP="00A630B1">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vAlign w:val="center"/>
          </w:tcPr>
          <w:p w14:paraId="23C805D8" w14:textId="3DF9F567" w:rsidR="00B03CA0" w:rsidRPr="0095120B" w:rsidRDefault="00232B06" w:rsidP="00BE5E2A">
            <w:pPr>
              <w:spacing w:line="240" w:lineRule="auto"/>
              <w:rPr>
                <w:rFonts w:ascii="Times New Roman" w:hAnsi="Times New Roman"/>
                <w:spacing w:val="-2"/>
              </w:rPr>
            </w:pPr>
            <w:r w:rsidRPr="0095120B">
              <w:rPr>
                <w:rFonts w:ascii="Times New Roman" w:hAnsi="Times New Roman"/>
                <w:spacing w:val="-2"/>
              </w:rPr>
              <w:t>0</w:t>
            </w:r>
          </w:p>
        </w:tc>
      </w:tr>
      <w:tr w:rsidR="00D5007C" w:rsidRPr="0095120B" w14:paraId="329E61E8" w14:textId="77777777" w:rsidTr="00AA6F40">
        <w:trPr>
          <w:trHeight w:val="360"/>
        </w:trPr>
        <w:tc>
          <w:tcPr>
            <w:tcW w:w="1447" w:type="dxa"/>
            <w:shd w:val="clear" w:color="auto" w:fill="FFFFFF"/>
            <w:vAlign w:val="center"/>
          </w:tcPr>
          <w:p w14:paraId="0F008556" w14:textId="013228A2" w:rsidR="00D5007C" w:rsidRPr="0095120B" w:rsidRDefault="00D5007C" w:rsidP="00D5007C">
            <w:pPr>
              <w:spacing w:line="240" w:lineRule="auto"/>
              <w:rPr>
                <w:rFonts w:ascii="Times New Roman" w:hAnsi="Times New Roman"/>
              </w:rPr>
            </w:pPr>
            <w:r w:rsidRPr="0095120B">
              <w:rPr>
                <w:rFonts w:ascii="Times New Roman" w:hAnsi="Times New Roman"/>
              </w:rPr>
              <w:t>NFZ</w:t>
            </w:r>
          </w:p>
        </w:tc>
        <w:tc>
          <w:tcPr>
            <w:tcW w:w="691" w:type="dxa"/>
            <w:gridSpan w:val="2"/>
            <w:shd w:val="clear" w:color="auto" w:fill="FFFFFF"/>
            <w:vAlign w:val="center"/>
          </w:tcPr>
          <w:p w14:paraId="2207DE0E" w14:textId="3F8262FF" w:rsidR="00D5007C" w:rsidRPr="0095120B" w:rsidRDefault="00D5007C" w:rsidP="00D5007C">
            <w:pPr>
              <w:spacing w:line="240" w:lineRule="auto"/>
              <w:jc w:val="center"/>
              <w:rPr>
                <w:rFonts w:ascii="Times New Roman" w:hAnsi="Times New Roman"/>
              </w:rPr>
            </w:pPr>
          </w:p>
        </w:tc>
        <w:tc>
          <w:tcPr>
            <w:tcW w:w="733" w:type="dxa"/>
            <w:gridSpan w:val="2"/>
            <w:shd w:val="clear" w:color="auto" w:fill="FFFFFF"/>
          </w:tcPr>
          <w:p w14:paraId="22DE8033" w14:textId="4EEB7E64" w:rsidR="00D5007C" w:rsidRPr="0095120B" w:rsidRDefault="00D5007C" w:rsidP="00AA6F40">
            <w:pPr>
              <w:spacing w:line="240" w:lineRule="auto"/>
              <w:rPr>
                <w:rFonts w:ascii="Times New Roman" w:hAnsi="Times New Roman"/>
              </w:rPr>
            </w:pPr>
            <w:r w:rsidRPr="004C7E3F">
              <w:t>27,65</w:t>
            </w:r>
          </w:p>
        </w:tc>
        <w:tc>
          <w:tcPr>
            <w:tcW w:w="733" w:type="dxa"/>
            <w:gridSpan w:val="3"/>
            <w:shd w:val="clear" w:color="auto" w:fill="FFFFFF"/>
          </w:tcPr>
          <w:p w14:paraId="4CE8F872" w14:textId="152F6FD3" w:rsidR="00D5007C" w:rsidRPr="0095120B" w:rsidRDefault="00D5007C" w:rsidP="00D5007C">
            <w:pPr>
              <w:spacing w:line="240" w:lineRule="auto"/>
              <w:jc w:val="center"/>
              <w:rPr>
                <w:rFonts w:ascii="Times New Roman" w:hAnsi="Times New Roman"/>
              </w:rPr>
            </w:pPr>
            <w:r>
              <w:t>27</w:t>
            </w:r>
            <w:r w:rsidRPr="004C7E3F">
              <w:t>,65</w:t>
            </w:r>
          </w:p>
        </w:tc>
        <w:tc>
          <w:tcPr>
            <w:tcW w:w="733" w:type="dxa"/>
            <w:gridSpan w:val="2"/>
            <w:shd w:val="clear" w:color="auto" w:fill="FFFFFF"/>
          </w:tcPr>
          <w:p w14:paraId="2090180A" w14:textId="1485EDE8" w:rsidR="00D5007C" w:rsidRPr="0095120B" w:rsidRDefault="00D5007C" w:rsidP="00D5007C">
            <w:pPr>
              <w:spacing w:line="240" w:lineRule="auto"/>
              <w:jc w:val="center"/>
              <w:rPr>
                <w:rFonts w:ascii="Times New Roman" w:hAnsi="Times New Roman"/>
              </w:rPr>
            </w:pPr>
            <w:r>
              <w:t>27</w:t>
            </w:r>
            <w:r w:rsidRPr="004C7E3F">
              <w:t>,65</w:t>
            </w:r>
          </w:p>
        </w:tc>
        <w:tc>
          <w:tcPr>
            <w:tcW w:w="733" w:type="dxa"/>
            <w:gridSpan w:val="3"/>
            <w:shd w:val="clear" w:color="auto" w:fill="FFFFFF"/>
          </w:tcPr>
          <w:p w14:paraId="52F6FD51" w14:textId="1C04B3DC" w:rsidR="00D5007C" w:rsidRPr="0095120B" w:rsidRDefault="00D5007C" w:rsidP="00D5007C">
            <w:pPr>
              <w:spacing w:line="240" w:lineRule="auto"/>
              <w:jc w:val="center"/>
              <w:rPr>
                <w:rFonts w:ascii="Times New Roman" w:hAnsi="Times New Roman"/>
              </w:rPr>
            </w:pPr>
            <w:r w:rsidRPr="004C7E3F">
              <w:t>27,65</w:t>
            </w:r>
          </w:p>
        </w:tc>
        <w:tc>
          <w:tcPr>
            <w:tcW w:w="734" w:type="dxa"/>
            <w:gridSpan w:val="2"/>
            <w:shd w:val="clear" w:color="auto" w:fill="FFFFFF"/>
          </w:tcPr>
          <w:p w14:paraId="6860E36A" w14:textId="15810EB8" w:rsidR="00D5007C" w:rsidRPr="0095120B" w:rsidRDefault="00D5007C" w:rsidP="00D5007C">
            <w:pPr>
              <w:spacing w:line="240" w:lineRule="auto"/>
              <w:jc w:val="center"/>
              <w:rPr>
                <w:rFonts w:ascii="Times New Roman" w:hAnsi="Times New Roman"/>
              </w:rPr>
            </w:pPr>
            <w:r w:rsidRPr="004C7E3F">
              <w:t>27,65</w:t>
            </w:r>
          </w:p>
        </w:tc>
        <w:tc>
          <w:tcPr>
            <w:tcW w:w="737" w:type="dxa"/>
            <w:gridSpan w:val="3"/>
            <w:shd w:val="clear" w:color="auto" w:fill="FFFFFF"/>
          </w:tcPr>
          <w:p w14:paraId="6801554A" w14:textId="457E0668" w:rsidR="00D5007C" w:rsidRPr="0095120B" w:rsidRDefault="00D5007C" w:rsidP="00D5007C">
            <w:pPr>
              <w:spacing w:line="240" w:lineRule="auto"/>
              <w:jc w:val="center"/>
              <w:rPr>
                <w:rFonts w:ascii="Times New Roman" w:hAnsi="Times New Roman"/>
              </w:rPr>
            </w:pPr>
            <w:r w:rsidRPr="004C7E3F">
              <w:t>27,65</w:t>
            </w:r>
          </w:p>
        </w:tc>
        <w:tc>
          <w:tcPr>
            <w:tcW w:w="733" w:type="dxa"/>
            <w:gridSpan w:val="2"/>
            <w:shd w:val="clear" w:color="auto" w:fill="FFFFFF"/>
          </w:tcPr>
          <w:p w14:paraId="1631D46C" w14:textId="097C445E" w:rsidR="00D5007C" w:rsidRPr="0095120B" w:rsidRDefault="00D5007C" w:rsidP="00D5007C">
            <w:pPr>
              <w:spacing w:line="240" w:lineRule="auto"/>
              <w:jc w:val="center"/>
              <w:rPr>
                <w:rFonts w:ascii="Times New Roman" w:hAnsi="Times New Roman"/>
              </w:rPr>
            </w:pPr>
            <w:r w:rsidRPr="004C7E3F">
              <w:t>27,65</w:t>
            </w:r>
          </w:p>
        </w:tc>
        <w:tc>
          <w:tcPr>
            <w:tcW w:w="733" w:type="dxa"/>
            <w:gridSpan w:val="3"/>
            <w:shd w:val="clear" w:color="auto" w:fill="FFFFFF"/>
          </w:tcPr>
          <w:p w14:paraId="10AEF33A" w14:textId="7C619FD0" w:rsidR="00D5007C" w:rsidRPr="0095120B" w:rsidRDefault="00D5007C" w:rsidP="00D5007C">
            <w:pPr>
              <w:spacing w:line="240" w:lineRule="auto"/>
              <w:jc w:val="center"/>
              <w:rPr>
                <w:rFonts w:ascii="Times New Roman" w:hAnsi="Times New Roman"/>
              </w:rPr>
            </w:pPr>
            <w:r w:rsidRPr="004C7E3F">
              <w:t>27,65</w:t>
            </w:r>
          </w:p>
        </w:tc>
        <w:tc>
          <w:tcPr>
            <w:tcW w:w="733" w:type="dxa"/>
            <w:gridSpan w:val="2"/>
            <w:shd w:val="clear" w:color="auto" w:fill="FFFFFF"/>
          </w:tcPr>
          <w:p w14:paraId="22B5B032" w14:textId="4F2714B7" w:rsidR="00D5007C" w:rsidRPr="0095120B" w:rsidRDefault="00D5007C" w:rsidP="00D5007C">
            <w:pPr>
              <w:spacing w:line="240" w:lineRule="auto"/>
              <w:jc w:val="center"/>
              <w:rPr>
                <w:rFonts w:ascii="Times New Roman" w:hAnsi="Times New Roman"/>
              </w:rPr>
            </w:pPr>
            <w:r w:rsidRPr="004C7E3F">
              <w:t>27,65</w:t>
            </w:r>
          </w:p>
        </w:tc>
        <w:tc>
          <w:tcPr>
            <w:tcW w:w="734" w:type="dxa"/>
            <w:shd w:val="clear" w:color="auto" w:fill="FFFFFF"/>
          </w:tcPr>
          <w:p w14:paraId="2F352384" w14:textId="4DFB27F9" w:rsidR="00D5007C" w:rsidRPr="0095120B" w:rsidRDefault="00D5007C" w:rsidP="00D5007C">
            <w:pPr>
              <w:spacing w:line="240" w:lineRule="auto"/>
              <w:jc w:val="center"/>
              <w:rPr>
                <w:rFonts w:ascii="Times New Roman" w:hAnsi="Times New Roman"/>
              </w:rPr>
            </w:pPr>
            <w:r w:rsidRPr="004C7E3F">
              <w:t>27,65</w:t>
            </w:r>
          </w:p>
        </w:tc>
        <w:tc>
          <w:tcPr>
            <w:tcW w:w="1329" w:type="dxa"/>
            <w:shd w:val="clear" w:color="auto" w:fill="FFFFFF"/>
          </w:tcPr>
          <w:p w14:paraId="260A894E" w14:textId="5A22DD0B" w:rsidR="00D5007C" w:rsidRDefault="00D5007C" w:rsidP="00D5007C">
            <w:pPr>
              <w:spacing w:line="240" w:lineRule="auto"/>
              <w:rPr>
                <w:rFonts w:ascii="Aptos Narrow" w:eastAsia="Times New Roman" w:hAnsi="Aptos Narrow"/>
                <w:color w:val="000000"/>
              </w:rPr>
            </w:pPr>
            <w:r>
              <w:rPr>
                <w:rFonts w:ascii="Aptos Narrow" w:hAnsi="Aptos Narrow"/>
                <w:color w:val="000000"/>
              </w:rPr>
              <w:t>276,5</w:t>
            </w:r>
          </w:p>
          <w:p w14:paraId="24A03F05" w14:textId="5AF09E16" w:rsidR="00D5007C" w:rsidRPr="0095120B" w:rsidRDefault="00D5007C" w:rsidP="00D5007C">
            <w:pPr>
              <w:spacing w:line="240" w:lineRule="auto"/>
              <w:rPr>
                <w:rFonts w:ascii="Times New Roman" w:hAnsi="Times New Roman"/>
                <w:spacing w:val="-2"/>
              </w:rPr>
            </w:pPr>
          </w:p>
        </w:tc>
      </w:tr>
      <w:tr w:rsidR="006D7335" w:rsidRPr="0095120B" w14:paraId="1EE3B2DA" w14:textId="77777777" w:rsidTr="006D7335">
        <w:trPr>
          <w:trHeight w:val="360"/>
        </w:trPr>
        <w:tc>
          <w:tcPr>
            <w:tcW w:w="1447" w:type="dxa"/>
            <w:shd w:val="clear" w:color="auto" w:fill="FFFFFF"/>
            <w:vAlign w:val="center"/>
          </w:tcPr>
          <w:p w14:paraId="6ECCCBB3" w14:textId="11AD8484" w:rsidR="007333B6" w:rsidRPr="0095120B" w:rsidRDefault="007333B6" w:rsidP="007333B6">
            <w:pPr>
              <w:spacing w:line="240" w:lineRule="auto"/>
              <w:rPr>
                <w:rFonts w:ascii="Times New Roman" w:hAnsi="Times New Roman"/>
              </w:rPr>
            </w:pPr>
            <w:r>
              <w:rPr>
                <w:rFonts w:ascii="Times New Roman" w:hAnsi="Times New Roman"/>
              </w:rPr>
              <w:t xml:space="preserve">Fundusz </w:t>
            </w:r>
            <w:proofErr w:type="spellStart"/>
            <w:r>
              <w:rPr>
                <w:rFonts w:ascii="Times New Roman" w:hAnsi="Times New Roman"/>
              </w:rPr>
              <w:t>Medyczn</w:t>
            </w:r>
            <w:proofErr w:type="spellEnd"/>
            <w:r>
              <w:rPr>
                <w:rFonts w:ascii="Times New Roman" w:hAnsi="Times New Roman"/>
              </w:rPr>
              <w:t xml:space="preserve"> - </w:t>
            </w:r>
            <w:r w:rsidRPr="009F0652">
              <w:rPr>
                <w:rFonts w:ascii="Times New Roman" w:hAnsi="Times New Roman"/>
              </w:rPr>
              <w:t>subfundusz terapeutyczno-</w:t>
            </w:r>
            <w:proofErr w:type="spellStart"/>
            <w:r w:rsidRPr="009F0652">
              <w:rPr>
                <w:rFonts w:ascii="Times New Roman" w:hAnsi="Times New Roman"/>
              </w:rPr>
              <w:t>innowacyjny</w:t>
            </w:r>
            <w:r>
              <w:rPr>
                <w:rFonts w:ascii="Times New Roman" w:hAnsi="Times New Roman"/>
              </w:rPr>
              <w:t>y</w:t>
            </w:r>
            <w:proofErr w:type="spellEnd"/>
          </w:p>
        </w:tc>
        <w:tc>
          <w:tcPr>
            <w:tcW w:w="691" w:type="dxa"/>
            <w:gridSpan w:val="2"/>
            <w:shd w:val="clear" w:color="auto" w:fill="FFFFFF"/>
          </w:tcPr>
          <w:p w14:paraId="41AF8F3C" w14:textId="0995BE93" w:rsidR="007333B6" w:rsidRPr="0095120B" w:rsidRDefault="007333B6" w:rsidP="007333B6">
            <w:pPr>
              <w:spacing w:line="240" w:lineRule="auto"/>
              <w:jc w:val="center"/>
              <w:rPr>
                <w:rFonts w:ascii="Times New Roman" w:hAnsi="Times New Roman"/>
              </w:rPr>
            </w:pPr>
            <w:r w:rsidRPr="000C5F6F">
              <w:t>0</w:t>
            </w:r>
          </w:p>
        </w:tc>
        <w:tc>
          <w:tcPr>
            <w:tcW w:w="733" w:type="dxa"/>
            <w:gridSpan w:val="2"/>
            <w:shd w:val="clear" w:color="auto" w:fill="FFFFFF"/>
          </w:tcPr>
          <w:p w14:paraId="0716B85B" w14:textId="63CB6DB5" w:rsidR="007333B6" w:rsidRPr="0095120B" w:rsidRDefault="007333B6" w:rsidP="007333B6">
            <w:pPr>
              <w:spacing w:line="240" w:lineRule="auto"/>
              <w:jc w:val="center"/>
              <w:rPr>
                <w:rFonts w:ascii="Times New Roman" w:hAnsi="Times New Roman"/>
              </w:rPr>
            </w:pPr>
            <w:r w:rsidRPr="000C5F6F">
              <w:t xml:space="preserve">100 </w:t>
            </w:r>
          </w:p>
        </w:tc>
        <w:tc>
          <w:tcPr>
            <w:tcW w:w="733" w:type="dxa"/>
            <w:gridSpan w:val="3"/>
            <w:shd w:val="clear" w:color="auto" w:fill="FFFFFF"/>
          </w:tcPr>
          <w:p w14:paraId="0DAB4072" w14:textId="11891959" w:rsidR="007333B6" w:rsidRPr="0095120B" w:rsidRDefault="007333B6" w:rsidP="007333B6">
            <w:pPr>
              <w:spacing w:line="240" w:lineRule="auto"/>
              <w:jc w:val="center"/>
              <w:rPr>
                <w:rFonts w:ascii="Times New Roman" w:hAnsi="Times New Roman"/>
              </w:rPr>
            </w:pPr>
            <w:r w:rsidRPr="000C5F6F">
              <w:t xml:space="preserve">66 </w:t>
            </w:r>
          </w:p>
        </w:tc>
        <w:tc>
          <w:tcPr>
            <w:tcW w:w="733" w:type="dxa"/>
            <w:gridSpan w:val="2"/>
            <w:shd w:val="clear" w:color="auto" w:fill="FFFFFF"/>
          </w:tcPr>
          <w:p w14:paraId="7DD41087" w14:textId="798CFEBB" w:rsidR="007333B6" w:rsidRPr="0095120B" w:rsidRDefault="007333B6" w:rsidP="007333B6">
            <w:pPr>
              <w:spacing w:line="240" w:lineRule="auto"/>
              <w:jc w:val="center"/>
              <w:rPr>
                <w:rFonts w:ascii="Times New Roman" w:hAnsi="Times New Roman"/>
              </w:rPr>
            </w:pPr>
            <w:r w:rsidRPr="000C5F6F">
              <w:t xml:space="preserve">33 </w:t>
            </w:r>
          </w:p>
        </w:tc>
        <w:tc>
          <w:tcPr>
            <w:tcW w:w="733" w:type="dxa"/>
            <w:gridSpan w:val="3"/>
            <w:shd w:val="clear" w:color="auto" w:fill="FFFFFF"/>
          </w:tcPr>
          <w:p w14:paraId="4B8B174F" w14:textId="6CC3A123" w:rsidR="007333B6" w:rsidRPr="0095120B" w:rsidRDefault="007333B6" w:rsidP="007333B6">
            <w:pPr>
              <w:spacing w:line="240" w:lineRule="auto"/>
              <w:jc w:val="center"/>
              <w:rPr>
                <w:rFonts w:ascii="Times New Roman" w:hAnsi="Times New Roman"/>
              </w:rPr>
            </w:pPr>
            <w:r w:rsidRPr="000C5F6F">
              <w:t>0</w:t>
            </w:r>
          </w:p>
        </w:tc>
        <w:tc>
          <w:tcPr>
            <w:tcW w:w="734" w:type="dxa"/>
            <w:gridSpan w:val="2"/>
            <w:shd w:val="clear" w:color="auto" w:fill="FFFFFF"/>
          </w:tcPr>
          <w:p w14:paraId="320A0CBD" w14:textId="2809A66A" w:rsidR="007333B6" w:rsidRPr="0095120B" w:rsidRDefault="007333B6" w:rsidP="007333B6">
            <w:pPr>
              <w:spacing w:line="240" w:lineRule="auto"/>
              <w:jc w:val="center"/>
              <w:rPr>
                <w:rFonts w:ascii="Times New Roman" w:hAnsi="Times New Roman"/>
              </w:rPr>
            </w:pPr>
            <w:r w:rsidRPr="000C5F6F">
              <w:t>0</w:t>
            </w:r>
          </w:p>
        </w:tc>
        <w:tc>
          <w:tcPr>
            <w:tcW w:w="737" w:type="dxa"/>
            <w:gridSpan w:val="3"/>
            <w:shd w:val="clear" w:color="auto" w:fill="FFFFFF"/>
          </w:tcPr>
          <w:p w14:paraId="46977CBC" w14:textId="1541FD2A" w:rsidR="007333B6" w:rsidRPr="0095120B" w:rsidRDefault="007333B6" w:rsidP="007333B6">
            <w:pPr>
              <w:spacing w:line="240" w:lineRule="auto"/>
              <w:jc w:val="center"/>
              <w:rPr>
                <w:rFonts w:ascii="Times New Roman" w:hAnsi="Times New Roman"/>
              </w:rPr>
            </w:pPr>
            <w:r w:rsidRPr="000C5F6F">
              <w:t>0</w:t>
            </w:r>
          </w:p>
        </w:tc>
        <w:tc>
          <w:tcPr>
            <w:tcW w:w="733" w:type="dxa"/>
            <w:gridSpan w:val="2"/>
            <w:shd w:val="clear" w:color="auto" w:fill="FFFFFF"/>
          </w:tcPr>
          <w:p w14:paraId="3C991C7A" w14:textId="1F99E0C4" w:rsidR="007333B6" w:rsidRPr="0095120B" w:rsidRDefault="007333B6" w:rsidP="007333B6">
            <w:pPr>
              <w:spacing w:line="240" w:lineRule="auto"/>
              <w:jc w:val="center"/>
              <w:rPr>
                <w:rFonts w:ascii="Times New Roman" w:hAnsi="Times New Roman"/>
              </w:rPr>
            </w:pPr>
            <w:r w:rsidRPr="000C5F6F">
              <w:t>0</w:t>
            </w:r>
          </w:p>
        </w:tc>
        <w:tc>
          <w:tcPr>
            <w:tcW w:w="733" w:type="dxa"/>
            <w:gridSpan w:val="3"/>
            <w:shd w:val="clear" w:color="auto" w:fill="FFFFFF"/>
          </w:tcPr>
          <w:p w14:paraId="58E6488A" w14:textId="6D5094FE" w:rsidR="007333B6" w:rsidRPr="0095120B" w:rsidRDefault="007333B6" w:rsidP="007333B6">
            <w:pPr>
              <w:spacing w:line="240" w:lineRule="auto"/>
              <w:jc w:val="center"/>
              <w:rPr>
                <w:rFonts w:ascii="Times New Roman" w:hAnsi="Times New Roman"/>
              </w:rPr>
            </w:pPr>
            <w:r w:rsidRPr="000C5F6F">
              <w:t>0</w:t>
            </w:r>
          </w:p>
        </w:tc>
        <w:tc>
          <w:tcPr>
            <w:tcW w:w="733" w:type="dxa"/>
            <w:gridSpan w:val="2"/>
            <w:shd w:val="clear" w:color="auto" w:fill="FFFFFF"/>
          </w:tcPr>
          <w:p w14:paraId="1579B645" w14:textId="4770D3A7" w:rsidR="007333B6" w:rsidRPr="0095120B" w:rsidRDefault="007333B6" w:rsidP="007333B6">
            <w:pPr>
              <w:spacing w:line="240" w:lineRule="auto"/>
              <w:jc w:val="center"/>
              <w:rPr>
                <w:rFonts w:ascii="Times New Roman" w:hAnsi="Times New Roman"/>
              </w:rPr>
            </w:pPr>
            <w:r w:rsidRPr="000C5F6F">
              <w:t>0</w:t>
            </w:r>
          </w:p>
        </w:tc>
        <w:tc>
          <w:tcPr>
            <w:tcW w:w="734" w:type="dxa"/>
            <w:shd w:val="clear" w:color="auto" w:fill="FFFFFF"/>
          </w:tcPr>
          <w:p w14:paraId="79522A43" w14:textId="4E747F6A" w:rsidR="007333B6" w:rsidRPr="0095120B" w:rsidRDefault="007333B6" w:rsidP="007333B6">
            <w:pPr>
              <w:spacing w:line="240" w:lineRule="auto"/>
              <w:jc w:val="center"/>
              <w:rPr>
                <w:rFonts w:ascii="Times New Roman" w:hAnsi="Times New Roman"/>
              </w:rPr>
            </w:pPr>
            <w:r w:rsidRPr="000C5F6F">
              <w:t>0</w:t>
            </w:r>
          </w:p>
        </w:tc>
        <w:tc>
          <w:tcPr>
            <w:tcW w:w="1329" w:type="dxa"/>
            <w:shd w:val="clear" w:color="auto" w:fill="FFFFFF"/>
          </w:tcPr>
          <w:p w14:paraId="602C4B31" w14:textId="65D1C9DE" w:rsidR="007333B6" w:rsidRPr="0095120B" w:rsidRDefault="007333B6" w:rsidP="007333B6">
            <w:pPr>
              <w:spacing w:line="240" w:lineRule="auto"/>
              <w:rPr>
                <w:rFonts w:ascii="Times New Roman" w:hAnsi="Times New Roman"/>
              </w:rPr>
            </w:pPr>
            <w:r w:rsidRPr="000C5F6F">
              <w:t>199</w:t>
            </w:r>
          </w:p>
        </w:tc>
      </w:tr>
      <w:tr w:rsidR="00694803" w:rsidRPr="0095120B" w14:paraId="7BAB3E0C" w14:textId="77777777" w:rsidTr="006D7335">
        <w:trPr>
          <w:trHeight w:val="360"/>
        </w:trPr>
        <w:tc>
          <w:tcPr>
            <w:tcW w:w="1447" w:type="dxa"/>
            <w:shd w:val="clear" w:color="auto" w:fill="FFFFFF"/>
            <w:vAlign w:val="center"/>
          </w:tcPr>
          <w:p w14:paraId="578735C0" w14:textId="40CA33F0" w:rsidR="00694803" w:rsidRPr="0095120B" w:rsidRDefault="00694803" w:rsidP="00694803">
            <w:pPr>
              <w:spacing w:line="240" w:lineRule="auto"/>
              <w:rPr>
                <w:rFonts w:ascii="Times New Roman" w:hAnsi="Times New Roman"/>
              </w:rPr>
            </w:pPr>
            <w:r w:rsidRPr="0095120B">
              <w:rPr>
                <w:rFonts w:ascii="Times New Roman" w:hAnsi="Times New Roman"/>
                <w:b/>
              </w:rPr>
              <w:t>Saldo ogółem</w:t>
            </w:r>
          </w:p>
        </w:tc>
        <w:tc>
          <w:tcPr>
            <w:tcW w:w="691" w:type="dxa"/>
            <w:gridSpan w:val="2"/>
            <w:shd w:val="clear" w:color="auto" w:fill="FFFFFF"/>
            <w:vAlign w:val="center"/>
          </w:tcPr>
          <w:p w14:paraId="7925DCEA" w14:textId="04714094" w:rsidR="00694803" w:rsidRPr="0095120B" w:rsidRDefault="00694803" w:rsidP="00694803">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tcPr>
          <w:p w14:paraId="3C98F8DD" w14:textId="3C3A261C" w:rsidR="00694803" w:rsidRPr="0095120B" w:rsidRDefault="00694803" w:rsidP="00694803">
            <w:pPr>
              <w:spacing w:line="240" w:lineRule="auto"/>
              <w:jc w:val="center"/>
              <w:rPr>
                <w:rFonts w:ascii="Times New Roman" w:hAnsi="Times New Roman"/>
              </w:rPr>
            </w:pPr>
            <w:r w:rsidRPr="0042753A">
              <w:t>-141,71</w:t>
            </w:r>
          </w:p>
        </w:tc>
        <w:tc>
          <w:tcPr>
            <w:tcW w:w="733" w:type="dxa"/>
            <w:gridSpan w:val="3"/>
            <w:shd w:val="clear" w:color="auto" w:fill="FFFFFF"/>
          </w:tcPr>
          <w:p w14:paraId="539019DD" w14:textId="1DD4DF8F" w:rsidR="00694803" w:rsidRPr="0095120B" w:rsidRDefault="00694803" w:rsidP="00694803">
            <w:pPr>
              <w:spacing w:line="240" w:lineRule="auto"/>
              <w:jc w:val="center"/>
              <w:rPr>
                <w:rFonts w:ascii="Times New Roman" w:hAnsi="Times New Roman"/>
              </w:rPr>
            </w:pPr>
            <w:r w:rsidRPr="0042753A">
              <w:t>-115,94</w:t>
            </w:r>
          </w:p>
        </w:tc>
        <w:tc>
          <w:tcPr>
            <w:tcW w:w="733" w:type="dxa"/>
            <w:gridSpan w:val="2"/>
            <w:shd w:val="clear" w:color="auto" w:fill="FFFFFF"/>
          </w:tcPr>
          <w:p w14:paraId="5A3D1C7C" w14:textId="0A912D32" w:rsidR="00694803" w:rsidRPr="0095120B" w:rsidRDefault="00694803" w:rsidP="00694803">
            <w:pPr>
              <w:spacing w:line="240" w:lineRule="auto"/>
              <w:jc w:val="center"/>
              <w:rPr>
                <w:rFonts w:ascii="Times New Roman" w:hAnsi="Times New Roman"/>
              </w:rPr>
            </w:pPr>
            <w:r w:rsidRPr="0042753A">
              <w:t>-71,21</w:t>
            </w:r>
          </w:p>
        </w:tc>
        <w:tc>
          <w:tcPr>
            <w:tcW w:w="733" w:type="dxa"/>
            <w:gridSpan w:val="3"/>
            <w:shd w:val="clear" w:color="auto" w:fill="FFFFFF"/>
          </w:tcPr>
          <w:p w14:paraId="757A9BC8" w14:textId="7E7F8C23" w:rsidR="00694803" w:rsidRPr="0095120B" w:rsidRDefault="00694803" w:rsidP="00694803">
            <w:pPr>
              <w:spacing w:line="240" w:lineRule="auto"/>
              <w:jc w:val="center"/>
              <w:rPr>
                <w:rFonts w:ascii="Times New Roman" w:hAnsi="Times New Roman"/>
              </w:rPr>
            </w:pPr>
            <w:r w:rsidRPr="0042753A">
              <w:t>-31,3</w:t>
            </w:r>
          </w:p>
        </w:tc>
        <w:tc>
          <w:tcPr>
            <w:tcW w:w="734" w:type="dxa"/>
            <w:gridSpan w:val="2"/>
            <w:shd w:val="clear" w:color="auto" w:fill="FFFFFF"/>
          </w:tcPr>
          <w:p w14:paraId="7BB74695" w14:textId="7E3004A9" w:rsidR="00694803" w:rsidRPr="0095120B" w:rsidRDefault="00694803" w:rsidP="00694803">
            <w:pPr>
              <w:spacing w:line="240" w:lineRule="auto"/>
              <w:jc w:val="center"/>
              <w:rPr>
                <w:rFonts w:ascii="Times New Roman" w:hAnsi="Times New Roman"/>
              </w:rPr>
            </w:pPr>
            <w:r w:rsidRPr="0042753A">
              <w:t>-31,24</w:t>
            </w:r>
          </w:p>
        </w:tc>
        <w:tc>
          <w:tcPr>
            <w:tcW w:w="737" w:type="dxa"/>
            <w:gridSpan w:val="3"/>
            <w:shd w:val="clear" w:color="auto" w:fill="FFFFFF"/>
          </w:tcPr>
          <w:p w14:paraId="411BB6F1" w14:textId="132FC19B" w:rsidR="00694803" w:rsidRPr="0095120B" w:rsidRDefault="00694803" w:rsidP="00694803">
            <w:pPr>
              <w:spacing w:line="240" w:lineRule="auto"/>
              <w:jc w:val="center"/>
              <w:rPr>
                <w:rFonts w:ascii="Times New Roman" w:hAnsi="Times New Roman"/>
              </w:rPr>
            </w:pPr>
            <w:r w:rsidRPr="0042753A">
              <w:t>-34,75</w:t>
            </w:r>
          </w:p>
        </w:tc>
        <w:tc>
          <w:tcPr>
            <w:tcW w:w="733" w:type="dxa"/>
            <w:gridSpan w:val="2"/>
            <w:shd w:val="clear" w:color="auto" w:fill="FFFFFF"/>
          </w:tcPr>
          <w:p w14:paraId="5F461C48" w14:textId="2A2314AD" w:rsidR="00694803" w:rsidRPr="0095120B" w:rsidRDefault="00694803" w:rsidP="00694803">
            <w:pPr>
              <w:spacing w:line="240" w:lineRule="auto"/>
              <w:jc w:val="center"/>
              <w:rPr>
                <w:rFonts w:ascii="Times New Roman" w:hAnsi="Times New Roman"/>
              </w:rPr>
            </w:pPr>
            <w:r w:rsidRPr="0042753A">
              <w:t>-31,29</w:t>
            </w:r>
          </w:p>
        </w:tc>
        <w:tc>
          <w:tcPr>
            <w:tcW w:w="733" w:type="dxa"/>
            <w:gridSpan w:val="3"/>
            <w:shd w:val="clear" w:color="auto" w:fill="FFFFFF"/>
          </w:tcPr>
          <w:p w14:paraId="1FB7E31B" w14:textId="1EDD019F" w:rsidR="00694803" w:rsidRPr="0095120B" w:rsidRDefault="00694803" w:rsidP="00694803">
            <w:pPr>
              <w:spacing w:line="240" w:lineRule="auto"/>
              <w:jc w:val="center"/>
              <w:rPr>
                <w:rFonts w:ascii="Times New Roman" w:hAnsi="Times New Roman"/>
              </w:rPr>
            </w:pPr>
            <w:r w:rsidRPr="0042753A">
              <w:t>-31,31</w:t>
            </w:r>
          </w:p>
        </w:tc>
        <w:tc>
          <w:tcPr>
            <w:tcW w:w="733" w:type="dxa"/>
            <w:gridSpan w:val="2"/>
            <w:shd w:val="clear" w:color="auto" w:fill="FFFFFF"/>
          </w:tcPr>
          <w:p w14:paraId="6C903A54" w14:textId="1F940343" w:rsidR="00694803" w:rsidRPr="0095120B" w:rsidRDefault="00694803" w:rsidP="00694803">
            <w:pPr>
              <w:spacing w:line="240" w:lineRule="auto"/>
              <w:jc w:val="center"/>
              <w:rPr>
                <w:rFonts w:ascii="Times New Roman" w:hAnsi="Times New Roman"/>
              </w:rPr>
            </w:pPr>
            <w:r w:rsidRPr="0042753A">
              <w:t>-31,34</w:t>
            </w:r>
          </w:p>
        </w:tc>
        <w:tc>
          <w:tcPr>
            <w:tcW w:w="734" w:type="dxa"/>
            <w:shd w:val="clear" w:color="auto" w:fill="FFFFFF"/>
          </w:tcPr>
          <w:p w14:paraId="741A9934" w14:textId="0C4DD44B" w:rsidR="00694803" w:rsidRPr="0095120B" w:rsidRDefault="00694803" w:rsidP="00694803">
            <w:pPr>
              <w:spacing w:line="240" w:lineRule="auto"/>
              <w:jc w:val="center"/>
              <w:rPr>
                <w:rFonts w:ascii="Times New Roman" w:hAnsi="Times New Roman"/>
              </w:rPr>
            </w:pPr>
            <w:r w:rsidRPr="0042753A">
              <w:t>-31,36</w:t>
            </w:r>
          </w:p>
        </w:tc>
        <w:tc>
          <w:tcPr>
            <w:tcW w:w="1329" w:type="dxa"/>
            <w:shd w:val="clear" w:color="auto" w:fill="FFFFFF"/>
          </w:tcPr>
          <w:p w14:paraId="3B746749" w14:textId="20D60881" w:rsidR="00694803" w:rsidRPr="0095120B" w:rsidRDefault="00694803" w:rsidP="00694803">
            <w:pPr>
              <w:spacing w:line="240" w:lineRule="auto"/>
              <w:rPr>
                <w:rFonts w:ascii="Times New Roman" w:hAnsi="Times New Roman"/>
              </w:rPr>
            </w:pPr>
            <w:r w:rsidRPr="0042753A">
              <w:t>-551,45</w:t>
            </w:r>
          </w:p>
        </w:tc>
      </w:tr>
      <w:tr w:rsidR="00694803" w:rsidRPr="0095120B" w14:paraId="095D280B" w14:textId="77777777" w:rsidTr="006D7335">
        <w:trPr>
          <w:trHeight w:val="357"/>
        </w:trPr>
        <w:tc>
          <w:tcPr>
            <w:tcW w:w="1447" w:type="dxa"/>
            <w:shd w:val="clear" w:color="auto" w:fill="FFFFFF"/>
            <w:vAlign w:val="center"/>
          </w:tcPr>
          <w:p w14:paraId="73784D17" w14:textId="1AA2CACF" w:rsidR="00694803" w:rsidRPr="0095120B" w:rsidRDefault="00694803" w:rsidP="00694803">
            <w:pPr>
              <w:spacing w:line="240" w:lineRule="auto"/>
              <w:rPr>
                <w:rFonts w:ascii="Times New Roman" w:hAnsi="Times New Roman"/>
              </w:rPr>
            </w:pPr>
            <w:r w:rsidRPr="0095120B">
              <w:rPr>
                <w:rFonts w:ascii="Times New Roman" w:hAnsi="Times New Roman"/>
              </w:rPr>
              <w:t>budżet państwa</w:t>
            </w:r>
          </w:p>
        </w:tc>
        <w:tc>
          <w:tcPr>
            <w:tcW w:w="691" w:type="dxa"/>
            <w:gridSpan w:val="2"/>
            <w:shd w:val="clear" w:color="auto" w:fill="FFFFFF"/>
            <w:vAlign w:val="center"/>
          </w:tcPr>
          <w:p w14:paraId="69325993" w14:textId="7D953638" w:rsidR="00694803" w:rsidRPr="0095120B" w:rsidRDefault="00694803" w:rsidP="00694803">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tcPr>
          <w:p w14:paraId="4BA33DBC" w14:textId="4E110CBC" w:rsidR="00694803" w:rsidRPr="0095120B" w:rsidRDefault="00694803" w:rsidP="00694803">
            <w:pPr>
              <w:spacing w:line="240" w:lineRule="auto"/>
              <w:jc w:val="center"/>
              <w:rPr>
                <w:rFonts w:ascii="Times New Roman" w:hAnsi="Times New Roman"/>
              </w:rPr>
            </w:pPr>
            <w:r w:rsidRPr="00510142">
              <w:t>-14,06</w:t>
            </w:r>
          </w:p>
        </w:tc>
        <w:tc>
          <w:tcPr>
            <w:tcW w:w="733" w:type="dxa"/>
            <w:gridSpan w:val="3"/>
            <w:shd w:val="clear" w:color="auto" w:fill="FFFFFF"/>
          </w:tcPr>
          <w:p w14:paraId="50842D43" w14:textId="7F227A42" w:rsidR="00694803" w:rsidRPr="0095120B" w:rsidRDefault="00694803" w:rsidP="00694803">
            <w:pPr>
              <w:spacing w:line="240" w:lineRule="auto"/>
              <w:jc w:val="center"/>
              <w:rPr>
                <w:rFonts w:ascii="Times New Roman" w:hAnsi="Times New Roman"/>
              </w:rPr>
            </w:pPr>
            <w:r w:rsidRPr="00510142">
              <w:t>-22,29</w:t>
            </w:r>
          </w:p>
        </w:tc>
        <w:tc>
          <w:tcPr>
            <w:tcW w:w="733" w:type="dxa"/>
            <w:gridSpan w:val="2"/>
            <w:shd w:val="clear" w:color="auto" w:fill="FFFFFF"/>
          </w:tcPr>
          <w:p w14:paraId="79C9469E" w14:textId="68B940BE" w:rsidR="00694803" w:rsidRPr="0095120B" w:rsidRDefault="00694803" w:rsidP="00694803">
            <w:pPr>
              <w:spacing w:line="240" w:lineRule="auto"/>
              <w:jc w:val="center"/>
              <w:rPr>
                <w:rFonts w:ascii="Times New Roman" w:hAnsi="Times New Roman"/>
              </w:rPr>
            </w:pPr>
            <w:r w:rsidRPr="00510142">
              <w:t>-10,56</w:t>
            </w:r>
          </w:p>
        </w:tc>
        <w:tc>
          <w:tcPr>
            <w:tcW w:w="733" w:type="dxa"/>
            <w:gridSpan w:val="3"/>
            <w:shd w:val="clear" w:color="auto" w:fill="FFFFFF"/>
          </w:tcPr>
          <w:p w14:paraId="39A70F17" w14:textId="25F5A226" w:rsidR="00694803" w:rsidRPr="0095120B" w:rsidRDefault="00694803" w:rsidP="00694803">
            <w:pPr>
              <w:spacing w:line="240" w:lineRule="auto"/>
              <w:jc w:val="center"/>
              <w:rPr>
                <w:rFonts w:ascii="Times New Roman" w:hAnsi="Times New Roman"/>
              </w:rPr>
            </w:pPr>
            <w:r w:rsidRPr="00510142">
              <w:t>-3,65</w:t>
            </w:r>
          </w:p>
        </w:tc>
        <w:tc>
          <w:tcPr>
            <w:tcW w:w="734" w:type="dxa"/>
            <w:gridSpan w:val="2"/>
            <w:shd w:val="clear" w:color="auto" w:fill="FFFFFF"/>
          </w:tcPr>
          <w:p w14:paraId="58FAAA37" w14:textId="5B5A5F93" w:rsidR="00694803" w:rsidRPr="0095120B" w:rsidRDefault="00694803" w:rsidP="00694803">
            <w:pPr>
              <w:spacing w:line="240" w:lineRule="auto"/>
              <w:jc w:val="center"/>
              <w:rPr>
                <w:rFonts w:ascii="Times New Roman" w:hAnsi="Times New Roman"/>
              </w:rPr>
            </w:pPr>
            <w:r w:rsidRPr="00510142">
              <w:t>-3,59</w:t>
            </w:r>
          </w:p>
        </w:tc>
        <w:tc>
          <w:tcPr>
            <w:tcW w:w="737" w:type="dxa"/>
            <w:gridSpan w:val="3"/>
            <w:shd w:val="clear" w:color="auto" w:fill="FFFFFF"/>
          </w:tcPr>
          <w:p w14:paraId="2360D70D" w14:textId="35116717" w:rsidR="00694803" w:rsidRPr="0095120B" w:rsidRDefault="00694803" w:rsidP="00694803">
            <w:pPr>
              <w:spacing w:line="240" w:lineRule="auto"/>
              <w:jc w:val="center"/>
              <w:rPr>
                <w:rFonts w:ascii="Times New Roman" w:hAnsi="Times New Roman"/>
              </w:rPr>
            </w:pPr>
            <w:r w:rsidRPr="00510142">
              <w:t>-7,1</w:t>
            </w:r>
          </w:p>
        </w:tc>
        <w:tc>
          <w:tcPr>
            <w:tcW w:w="733" w:type="dxa"/>
            <w:gridSpan w:val="2"/>
            <w:shd w:val="clear" w:color="auto" w:fill="FFFFFF"/>
          </w:tcPr>
          <w:p w14:paraId="5526C3BF" w14:textId="77ACAB47" w:rsidR="00694803" w:rsidRPr="0095120B" w:rsidRDefault="00694803" w:rsidP="00694803">
            <w:pPr>
              <w:spacing w:line="240" w:lineRule="auto"/>
              <w:jc w:val="center"/>
              <w:rPr>
                <w:rFonts w:ascii="Times New Roman" w:hAnsi="Times New Roman"/>
              </w:rPr>
            </w:pPr>
            <w:r w:rsidRPr="00510142">
              <w:t>-3,64</w:t>
            </w:r>
          </w:p>
        </w:tc>
        <w:tc>
          <w:tcPr>
            <w:tcW w:w="733" w:type="dxa"/>
            <w:gridSpan w:val="3"/>
            <w:shd w:val="clear" w:color="auto" w:fill="FFFFFF"/>
          </w:tcPr>
          <w:p w14:paraId="4B304ECD" w14:textId="3633BF66" w:rsidR="00694803" w:rsidRPr="0095120B" w:rsidRDefault="00694803" w:rsidP="00694803">
            <w:pPr>
              <w:spacing w:line="240" w:lineRule="auto"/>
              <w:jc w:val="center"/>
              <w:rPr>
                <w:rFonts w:ascii="Times New Roman" w:hAnsi="Times New Roman"/>
              </w:rPr>
            </w:pPr>
            <w:r w:rsidRPr="00510142">
              <w:t>-3,66</w:t>
            </w:r>
          </w:p>
        </w:tc>
        <w:tc>
          <w:tcPr>
            <w:tcW w:w="733" w:type="dxa"/>
            <w:gridSpan w:val="2"/>
            <w:shd w:val="clear" w:color="auto" w:fill="FFFFFF"/>
          </w:tcPr>
          <w:p w14:paraId="174BF534" w14:textId="7A428897" w:rsidR="00694803" w:rsidRPr="0095120B" w:rsidRDefault="00694803" w:rsidP="00694803">
            <w:pPr>
              <w:spacing w:line="240" w:lineRule="auto"/>
              <w:jc w:val="center"/>
              <w:rPr>
                <w:rFonts w:ascii="Times New Roman" w:hAnsi="Times New Roman"/>
              </w:rPr>
            </w:pPr>
            <w:r w:rsidRPr="00510142">
              <w:t>-3,69</w:t>
            </w:r>
          </w:p>
        </w:tc>
        <w:tc>
          <w:tcPr>
            <w:tcW w:w="734" w:type="dxa"/>
            <w:shd w:val="clear" w:color="auto" w:fill="FFFFFF"/>
          </w:tcPr>
          <w:p w14:paraId="580A807D" w14:textId="657EEF35" w:rsidR="00694803" w:rsidRPr="0095120B" w:rsidRDefault="00694803" w:rsidP="00694803">
            <w:pPr>
              <w:spacing w:line="240" w:lineRule="auto"/>
              <w:jc w:val="center"/>
              <w:rPr>
                <w:rFonts w:ascii="Times New Roman" w:hAnsi="Times New Roman"/>
              </w:rPr>
            </w:pPr>
            <w:r w:rsidRPr="00510142">
              <w:t>-3,71</w:t>
            </w:r>
          </w:p>
        </w:tc>
        <w:tc>
          <w:tcPr>
            <w:tcW w:w="1329" w:type="dxa"/>
            <w:shd w:val="clear" w:color="auto" w:fill="FFFFFF"/>
          </w:tcPr>
          <w:p w14:paraId="25F028E2" w14:textId="51ABA2E3" w:rsidR="00694803" w:rsidRPr="0095120B" w:rsidRDefault="00694803" w:rsidP="00694803">
            <w:pPr>
              <w:spacing w:line="240" w:lineRule="auto"/>
              <w:rPr>
                <w:rFonts w:ascii="Times New Roman" w:hAnsi="Times New Roman"/>
              </w:rPr>
            </w:pPr>
            <w:r w:rsidRPr="00510142">
              <w:t>-75,95</w:t>
            </w:r>
          </w:p>
        </w:tc>
      </w:tr>
      <w:tr w:rsidR="006D7335" w:rsidRPr="0095120B" w14:paraId="38893D0F" w14:textId="77777777" w:rsidTr="006D7335">
        <w:trPr>
          <w:trHeight w:val="357"/>
        </w:trPr>
        <w:tc>
          <w:tcPr>
            <w:tcW w:w="1447" w:type="dxa"/>
            <w:shd w:val="clear" w:color="auto" w:fill="FFFFFF"/>
            <w:vAlign w:val="center"/>
          </w:tcPr>
          <w:p w14:paraId="73D9D196" w14:textId="69B62AD8" w:rsidR="00A52F5A" w:rsidRPr="0095120B" w:rsidRDefault="00A52F5A" w:rsidP="00A52F5A">
            <w:pPr>
              <w:spacing w:line="240" w:lineRule="auto"/>
              <w:rPr>
                <w:rFonts w:ascii="Times New Roman" w:hAnsi="Times New Roman"/>
              </w:rPr>
            </w:pPr>
            <w:r w:rsidRPr="0095120B">
              <w:rPr>
                <w:rFonts w:ascii="Times New Roman" w:hAnsi="Times New Roman"/>
              </w:rPr>
              <w:t>JST</w:t>
            </w:r>
          </w:p>
        </w:tc>
        <w:tc>
          <w:tcPr>
            <w:tcW w:w="691" w:type="dxa"/>
            <w:gridSpan w:val="2"/>
            <w:shd w:val="clear" w:color="auto" w:fill="FFFFFF"/>
            <w:vAlign w:val="center"/>
          </w:tcPr>
          <w:p w14:paraId="064A6CDE" w14:textId="4530BDD8"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703F4069" w14:textId="0B7099B2"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4596EC16" w14:textId="1339C08C"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49EBF038" w14:textId="72F69741"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7B6B6138" w14:textId="4AA0322D"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617D891E" w14:textId="03AA462B"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280233C5" w14:textId="160D9859"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7788C74F" w14:textId="1331AFFF"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55530B1F" w14:textId="5B28A2BA"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6DDE93FA" w14:textId="74327C93"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0EDFD75B" w14:textId="2BD55890"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vAlign w:val="center"/>
          </w:tcPr>
          <w:p w14:paraId="3C558983" w14:textId="237D44B8" w:rsidR="00A52F5A" w:rsidRPr="0095120B" w:rsidRDefault="00A52F5A" w:rsidP="00A52F5A">
            <w:pPr>
              <w:spacing w:line="240" w:lineRule="auto"/>
              <w:rPr>
                <w:rFonts w:ascii="Times New Roman" w:hAnsi="Times New Roman"/>
                <w:spacing w:val="-2"/>
              </w:rPr>
            </w:pPr>
            <w:r w:rsidRPr="0095120B">
              <w:rPr>
                <w:rFonts w:ascii="Times New Roman" w:hAnsi="Times New Roman"/>
                <w:spacing w:val="-2"/>
              </w:rPr>
              <w:t>0</w:t>
            </w:r>
          </w:p>
        </w:tc>
      </w:tr>
      <w:tr w:rsidR="006D7335" w:rsidRPr="0095120B" w14:paraId="7BF15B78" w14:textId="77777777" w:rsidTr="006D7335">
        <w:trPr>
          <w:trHeight w:val="357"/>
        </w:trPr>
        <w:tc>
          <w:tcPr>
            <w:tcW w:w="1447" w:type="dxa"/>
            <w:shd w:val="clear" w:color="auto" w:fill="FFFFFF"/>
            <w:vAlign w:val="center"/>
          </w:tcPr>
          <w:p w14:paraId="50CA3370" w14:textId="63165204" w:rsidR="00A52F5A" w:rsidRPr="0095120B" w:rsidRDefault="00A52F5A" w:rsidP="00A52F5A">
            <w:pPr>
              <w:spacing w:line="240" w:lineRule="auto"/>
              <w:rPr>
                <w:rFonts w:ascii="Times New Roman" w:hAnsi="Times New Roman"/>
              </w:rPr>
            </w:pPr>
            <w:r w:rsidRPr="0095120B">
              <w:rPr>
                <w:rFonts w:ascii="Times New Roman" w:hAnsi="Times New Roman"/>
              </w:rPr>
              <w:t>NFZ</w:t>
            </w:r>
          </w:p>
        </w:tc>
        <w:tc>
          <w:tcPr>
            <w:tcW w:w="691" w:type="dxa"/>
            <w:gridSpan w:val="2"/>
            <w:shd w:val="clear" w:color="auto" w:fill="FFFFFF"/>
            <w:vAlign w:val="center"/>
          </w:tcPr>
          <w:p w14:paraId="78242DCB" w14:textId="2E62ADAF"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tcPr>
          <w:p w14:paraId="1EFDCA58" w14:textId="4094C81D" w:rsidR="00A52F5A" w:rsidRPr="0095120B" w:rsidDel="0051004C" w:rsidRDefault="00A52F5A" w:rsidP="00A52F5A">
            <w:pPr>
              <w:spacing w:line="240" w:lineRule="auto"/>
              <w:jc w:val="center"/>
              <w:rPr>
                <w:rFonts w:ascii="Times New Roman" w:hAnsi="Times New Roman"/>
              </w:rPr>
            </w:pPr>
            <w:r w:rsidRPr="004C7E3F">
              <w:t>-27,65</w:t>
            </w:r>
          </w:p>
        </w:tc>
        <w:tc>
          <w:tcPr>
            <w:tcW w:w="733" w:type="dxa"/>
            <w:gridSpan w:val="3"/>
            <w:shd w:val="clear" w:color="auto" w:fill="FFFFFF"/>
          </w:tcPr>
          <w:p w14:paraId="094866B7" w14:textId="26CDDEB9" w:rsidR="00A52F5A" w:rsidRPr="0095120B" w:rsidDel="0051004C" w:rsidRDefault="00A52F5A" w:rsidP="00A52F5A">
            <w:pPr>
              <w:spacing w:line="240" w:lineRule="auto"/>
              <w:jc w:val="center"/>
              <w:rPr>
                <w:rFonts w:ascii="Times New Roman" w:hAnsi="Times New Roman"/>
              </w:rPr>
            </w:pPr>
            <w:r w:rsidRPr="004C7E3F">
              <w:t>-</w:t>
            </w:r>
            <w:r>
              <w:t>27</w:t>
            </w:r>
            <w:r w:rsidRPr="004C7E3F">
              <w:t>,65</w:t>
            </w:r>
          </w:p>
        </w:tc>
        <w:tc>
          <w:tcPr>
            <w:tcW w:w="733" w:type="dxa"/>
            <w:gridSpan w:val="2"/>
            <w:shd w:val="clear" w:color="auto" w:fill="FFFFFF"/>
          </w:tcPr>
          <w:p w14:paraId="39993EAA" w14:textId="42E61F0C" w:rsidR="00A52F5A" w:rsidRPr="0095120B" w:rsidDel="0051004C" w:rsidRDefault="00A52F5A" w:rsidP="00A52F5A">
            <w:pPr>
              <w:spacing w:line="240" w:lineRule="auto"/>
              <w:jc w:val="center"/>
              <w:rPr>
                <w:rFonts w:ascii="Times New Roman" w:hAnsi="Times New Roman"/>
              </w:rPr>
            </w:pPr>
            <w:r w:rsidRPr="004C7E3F">
              <w:t>-</w:t>
            </w:r>
            <w:r>
              <w:t>27</w:t>
            </w:r>
            <w:r w:rsidRPr="004C7E3F">
              <w:t>,65</w:t>
            </w:r>
          </w:p>
        </w:tc>
        <w:tc>
          <w:tcPr>
            <w:tcW w:w="733" w:type="dxa"/>
            <w:gridSpan w:val="3"/>
            <w:shd w:val="clear" w:color="auto" w:fill="FFFFFF"/>
          </w:tcPr>
          <w:p w14:paraId="4705E4D6" w14:textId="1141DFE9" w:rsidR="00A52F5A" w:rsidRPr="0095120B" w:rsidDel="0051004C" w:rsidRDefault="00A52F5A" w:rsidP="00A52F5A">
            <w:pPr>
              <w:spacing w:line="240" w:lineRule="auto"/>
              <w:jc w:val="center"/>
              <w:rPr>
                <w:rFonts w:ascii="Times New Roman" w:hAnsi="Times New Roman"/>
              </w:rPr>
            </w:pPr>
            <w:r w:rsidRPr="004C7E3F">
              <w:t>-27,65</w:t>
            </w:r>
          </w:p>
        </w:tc>
        <w:tc>
          <w:tcPr>
            <w:tcW w:w="734" w:type="dxa"/>
            <w:gridSpan w:val="2"/>
            <w:shd w:val="clear" w:color="auto" w:fill="FFFFFF"/>
          </w:tcPr>
          <w:p w14:paraId="4828C0DB" w14:textId="2737AB3D" w:rsidR="00A52F5A" w:rsidRPr="0095120B" w:rsidDel="0051004C" w:rsidRDefault="00A52F5A" w:rsidP="00A52F5A">
            <w:pPr>
              <w:spacing w:line="240" w:lineRule="auto"/>
              <w:jc w:val="center"/>
              <w:rPr>
                <w:rFonts w:ascii="Times New Roman" w:hAnsi="Times New Roman"/>
              </w:rPr>
            </w:pPr>
            <w:r w:rsidRPr="004C7E3F">
              <w:t>-27,65</w:t>
            </w:r>
          </w:p>
        </w:tc>
        <w:tc>
          <w:tcPr>
            <w:tcW w:w="737" w:type="dxa"/>
            <w:gridSpan w:val="3"/>
            <w:shd w:val="clear" w:color="auto" w:fill="FFFFFF"/>
          </w:tcPr>
          <w:p w14:paraId="5E7B669A" w14:textId="1DB1027A" w:rsidR="00A52F5A" w:rsidRPr="0095120B" w:rsidDel="0051004C" w:rsidRDefault="00A52F5A" w:rsidP="00A52F5A">
            <w:pPr>
              <w:spacing w:line="240" w:lineRule="auto"/>
              <w:jc w:val="center"/>
              <w:rPr>
                <w:rFonts w:ascii="Times New Roman" w:hAnsi="Times New Roman"/>
              </w:rPr>
            </w:pPr>
            <w:r w:rsidRPr="004C7E3F">
              <w:t>-27,65</w:t>
            </w:r>
          </w:p>
        </w:tc>
        <w:tc>
          <w:tcPr>
            <w:tcW w:w="733" w:type="dxa"/>
            <w:gridSpan w:val="2"/>
            <w:shd w:val="clear" w:color="auto" w:fill="FFFFFF"/>
          </w:tcPr>
          <w:p w14:paraId="3F1C0201" w14:textId="2AB8C874" w:rsidR="00A52F5A" w:rsidRPr="0095120B" w:rsidDel="0051004C" w:rsidRDefault="00A52F5A" w:rsidP="00A52F5A">
            <w:pPr>
              <w:spacing w:line="240" w:lineRule="auto"/>
              <w:jc w:val="center"/>
              <w:rPr>
                <w:rFonts w:ascii="Times New Roman" w:hAnsi="Times New Roman"/>
              </w:rPr>
            </w:pPr>
            <w:r w:rsidRPr="004C7E3F">
              <w:t>-27,65</w:t>
            </w:r>
          </w:p>
        </w:tc>
        <w:tc>
          <w:tcPr>
            <w:tcW w:w="733" w:type="dxa"/>
            <w:gridSpan w:val="3"/>
            <w:shd w:val="clear" w:color="auto" w:fill="FFFFFF"/>
          </w:tcPr>
          <w:p w14:paraId="3085B4F5" w14:textId="0DEEE495" w:rsidR="00A52F5A" w:rsidRPr="0095120B" w:rsidDel="0051004C" w:rsidRDefault="00A52F5A" w:rsidP="00A52F5A">
            <w:pPr>
              <w:spacing w:line="240" w:lineRule="auto"/>
              <w:jc w:val="center"/>
              <w:rPr>
                <w:rFonts w:ascii="Times New Roman" w:hAnsi="Times New Roman"/>
              </w:rPr>
            </w:pPr>
            <w:r w:rsidRPr="004C7E3F">
              <w:t>-27,65</w:t>
            </w:r>
          </w:p>
        </w:tc>
        <w:tc>
          <w:tcPr>
            <w:tcW w:w="733" w:type="dxa"/>
            <w:gridSpan w:val="2"/>
            <w:shd w:val="clear" w:color="auto" w:fill="FFFFFF"/>
          </w:tcPr>
          <w:p w14:paraId="147BF79E" w14:textId="20C3E4D3" w:rsidR="00A52F5A" w:rsidRPr="0095120B" w:rsidDel="0051004C" w:rsidRDefault="00A52F5A" w:rsidP="00A52F5A">
            <w:pPr>
              <w:spacing w:line="240" w:lineRule="auto"/>
              <w:jc w:val="center"/>
              <w:rPr>
                <w:rFonts w:ascii="Times New Roman" w:hAnsi="Times New Roman"/>
              </w:rPr>
            </w:pPr>
            <w:r w:rsidRPr="004C7E3F">
              <w:t>-27,65</w:t>
            </w:r>
          </w:p>
        </w:tc>
        <w:tc>
          <w:tcPr>
            <w:tcW w:w="734" w:type="dxa"/>
            <w:shd w:val="clear" w:color="auto" w:fill="FFFFFF"/>
          </w:tcPr>
          <w:p w14:paraId="72D72F5A" w14:textId="162E2B14" w:rsidR="00A52F5A" w:rsidRPr="0095120B" w:rsidDel="0051004C" w:rsidRDefault="00A52F5A" w:rsidP="00A52F5A">
            <w:pPr>
              <w:spacing w:line="240" w:lineRule="auto"/>
              <w:jc w:val="center"/>
              <w:rPr>
                <w:rFonts w:ascii="Times New Roman" w:hAnsi="Times New Roman"/>
              </w:rPr>
            </w:pPr>
            <w:r w:rsidRPr="004C7E3F">
              <w:t>-27,65</w:t>
            </w:r>
          </w:p>
        </w:tc>
        <w:tc>
          <w:tcPr>
            <w:tcW w:w="1329" w:type="dxa"/>
            <w:shd w:val="clear" w:color="auto" w:fill="FFFFFF"/>
          </w:tcPr>
          <w:p w14:paraId="4440906C" w14:textId="57FD2691" w:rsidR="00A52F5A" w:rsidRPr="0095120B" w:rsidDel="0051004C" w:rsidRDefault="00A52F5A" w:rsidP="00A52F5A">
            <w:pPr>
              <w:spacing w:line="240" w:lineRule="auto"/>
              <w:rPr>
                <w:rFonts w:ascii="Times New Roman" w:hAnsi="Times New Roman"/>
                <w:spacing w:val="-2"/>
              </w:rPr>
            </w:pPr>
            <w:r>
              <w:rPr>
                <w:rFonts w:ascii="Aptos Narrow" w:hAnsi="Aptos Narrow"/>
                <w:color w:val="000000"/>
              </w:rPr>
              <w:t>-276,5</w:t>
            </w:r>
          </w:p>
        </w:tc>
      </w:tr>
      <w:tr w:rsidR="006D7335" w:rsidRPr="0095120B" w14:paraId="0DAFF69E" w14:textId="77777777" w:rsidTr="006D7335">
        <w:trPr>
          <w:trHeight w:val="357"/>
        </w:trPr>
        <w:tc>
          <w:tcPr>
            <w:tcW w:w="1447" w:type="dxa"/>
            <w:shd w:val="clear" w:color="auto" w:fill="FFFFFF"/>
            <w:vAlign w:val="center"/>
          </w:tcPr>
          <w:p w14:paraId="7F4108AF" w14:textId="77777777" w:rsidR="00A52F5A" w:rsidRDefault="00A52F5A" w:rsidP="00A52F5A">
            <w:pPr>
              <w:spacing w:line="240" w:lineRule="auto"/>
              <w:rPr>
                <w:rFonts w:ascii="Times New Roman" w:hAnsi="Times New Roman"/>
              </w:rPr>
            </w:pPr>
            <w:r w:rsidRPr="0095120B">
              <w:rPr>
                <w:rFonts w:ascii="Times New Roman" w:hAnsi="Times New Roman"/>
              </w:rPr>
              <w:t>pozostałe jednostki (oddzielnie)</w:t>
            </w:r>
          </w:p>
          <w:p w14:paraId="55D5DB7A" w14:textId="2E119B25" w:rsidR="00A52F5A" w:rsidRPr="0095120B" w:rsidRDefault="00A52F5A" w:rsidP="00A52F5A">
            <w:pPr>
              <w:spacing w:line="240" w:lineRule="auto"/>
              <w:rPr>
                <w:rFonts w:ascii="Times New Roman" w:hAnsi="Times New Roman"/>
              </w:rPr>
            </w:pPr>
            <w:r>
              <w:rPr>
                <w:rFonts w:ascii="Times New Roman" w:hAnsi="Times New Roman"/>
              </w:rPr>
              <w:t xml:space="preserve">Fundusz </w:t>
            </w:r>
            <w:proofErr w:type="spellStart"/>
            <w:r>
              <w:rPr>
                <w:rFonts w:ascii="Times New Roman" w:hAnsi="Times New Roman"/>
              </w:rPr>
              <w:t>Medyczn</w:t>
            </w:r>
            <w:proofErr w:type="spellEnd"/>
            <w:r>
              <w:rPr>
                <w:rFonts w:ascii="Times New Roman" w:hAnsi="Times New Roman"/>
              </w:rPr>
              <w:t xml:space="preserve"> - </w:t>
            </w:r>
            <w:r w:rsidRPr="009F0652">
              <w:rPr>
                <w:rFonts w:ascii="Times New Roman" w:hAnsi="Times New Roman"/>
              </w:rPr>
              <w:t>subfundusz terapeutyczno-innowacyjny</w:t>
            </w:r>
          </w:p>
        </w:tc>
        <w:tc>
          <w:tcPr>
            <w:tcW w:w="691" w:type="dxa"/>
            <w:gridSpan w:val="2"/>
            <w:shd w:val="clear" w:color="auto" w:fill="FFFFFF"/>
            <w:vAlign w:val="center"/>
          </w:tcPr>
          <w:p w14:paraId="0851BAFB" w14:textId="58715A86"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427ED2A0" w14:textId="25BD6FA1" w:rsidR="00A52F5A" w:rsidRPr="0095120B" w:rsidRDefault="00A52F5A" w:rsidP="00A52F5A">
            <w:pPr>
              <w:spacing w:line="240" w:lineRule="auto"/>
              <w:jc w:val="center"/>
              <w:rPr>
                <w:rFonts w:ascii="Times New Roman" w:hAnsi="Times New Roman"/>
              </w:rPr>
            </w:pPr>
            <w:r>
              <w:rPr>
                <w:rFonts w:ascii="Times New Roman" w:hAnsi="Times New Roman"/>
              </w:rPr>
              <w:t>-100</w:t>
            </w:r>
          </w:p>
        </w:tc>
        <w:tc>
          <w:tcPr>
            <w:tcW w:w="733" w:type="dxa"/>
            <w:gridSpan w:val="3"/>
            <w:shd w:val="clear" w:color="auto" w:fill="FFFFFF"/>
            <w:vAlign w:val="center"/>
          </w:tcPr>
          <w:p w14:paraId="16631ABF" w14:textId="6F703CFE" w:rsidR="00A52F5A" w:rsidRPr="0095120B" w:rsidRDefault="00A52F5A" w:rsidP="00A52F5A">
            <w:pPr>
              <w:spacing w:line="240" w:lineRule="auto"/>
              <w:jc w:val="center"/>
              <w:rPr>
                <w:rFonts w:ascii="Times New Roman" w:hAnsi="Times New Roman"/>
              </w:rPr>
            </w:pPr>
            <w:r>
              <w:rPr>
                <w:rFonts w:ascii="Times New Roman" w:hAnsi="Times New Roman"/>
              </w:rPr>
              <w:t>-66</w:t>
            </w:r>
          </w:p>
        </w:tc>
        <w:tc>
          <w:tcPr>
            <w:tcW w:w="733" w:type="dxa"/>
            <w:gridSpan w:val="2"/>
            <w:shd w:val="clear" w:color="auto" w:fill="FFFFFF"/>
            <w:vAlign w:val="center"/>
          </w:tcPr>
          <w:p w14:paraId="7305C3F6" w14:textId="3FE0BD61" w:rsidR="00A52F5A" w:rsidRPr="0095120B" w:rsidRDefault="00A52F5A" w:rsidP="00A52F5A">
            <w:pPr>
              <w:spacing w:line="240" w:lineRule="auto"/>
              <w:jc w:val="center"/>
              <w:rPr>
                <w:rFonts w:ascii="Times New Roman" w:hAnsi="Times New Roman"/>
              </w:rPr>
            </w:pPr>
            <w:r>
              <w:rPr>
                <w:rFonts w:ascii="Times New Roman" w:hAnsi="Times New Roman"/>
              </w:rPr>
              <w:t>-33</w:t>
            </w:r>
          </w:p>
        </w:tc>
        <w:tc>
          <w:tcPr>
            <w:tcW w:w="733" w:type="dxa"/>
            <w:gridSpan w:val="3"/>
            <w:shd w:val="clear" w:color="auto" w:fill="FFFFFF"/>
            <w:vAlign w:val="center"/>
          </w:tcPr>
          <w:p w14:paraId="3F3BA582" w14:textId="277B356D"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4" w:type="dxa"/>
            <w:gridSpan w:val="2"/>
            <w:shd w:val="clear" w:color="auto" w:fill="FFFFFF"/>
            <w:vAlign w:val="center"/>
          </w:tcPr>
          <w:p w14:paraId="6E4950DA" w14:textId="16F34360"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7" w:type="dxa"/>
            <w:gridSpan w:val="3"/>
            <w:shd w:val="clear" w:color="auto" w:fill="FFFFFF"/>
            <w:vAlign w:val="center"/>
          </w:tcPr>
          <w:p w14:paraId="0DAFB93A" w14:textId="08AA62B4"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2961ADA1" w14:textId="5B07A5B0"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3"/>
            <w:shd w:val="clear" w:color="auto" w:fill="FFFFFF"/>
            <w:vAlign w:val="center"/>
          </w:tcPr>
          <w:p w14:paraId="234EBEE0" w14:textId="58C8CBBA"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3" w:type="dxa"/>
            <w:gridSpan w:val="2"/>
            <w:shd w:val="clear" w:color="auto" w:fill="FFFFFF"/>
            <w:vAlign w:val="center"/>
          </w:tcPr>
          <w:p w14:paraId="1EFD527F" w14:textId="49C909E7"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34" w:type="dxa"/>
            <w:shd w:val="clear" w:color="auto" w:fill="FFFFFF"/>
            <w:vAlign w:val="center"/>
          </w:tcPr>
          <w:p w14:paraId="775291AC" w14:textId="42171B84"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1329" w:type="dxa"/>
            <w:shd w:val="clear" w:color="auto" w:fill="FFFFFF"/>
          </w:tcPr>
          <w:p w14:paraId="35AB74E3" w14:textId="2BCE1BAA" w:rsidR="00A52F5A" w:rsidRPr="0095120B" w:rsidRDefault="00A52F5A" w:rsidP="00A52F5A">
            <w:pPr>
              <w:spacing w:line="240" w:lineRule="auto"/>
              <w:rPr>
                <w:rFonts w:ascii="Times New Roman" w:hAnsi="Times New Roman"/>
              </w:rPr>
            </w:pPr>
            <w:r>
              <w:rPr>
                <w:rFonts w:ascii="Times New Roman" w:hAnsi="Times New Roman"/>
              </w:rPr>
              <w:t>-199</w:t>
            </w:r>
          </w:p>
        </w:tc>
      </w:tr>
      <w:tr w:rsidR="00A52F5A" w:rsidRPr="0095120B" w14:paraId="0BB299D0" w14:textId="77777777" w:rsidTr="00E57605">
        <w:trPr>
          <w:trHeight w:val="348"/>
        </w:trPr>
        <w:tc>
          <w:tcPr>
            <w:tcW w:w="1992" w:type="dxa"/>
            <w:gridSpan w:val="2"/>
            <w:shd w:val="clear" w:color="auto" w:fill="FFFFFF"/>
            <w:vAlign w:val="center"/>
          </w:tcPr>
          <w:p w14:paraId="3294D02F" w14:textId="77777777" w:rsidR="00A52F5A" w:rsidRPr="0095120B" w:rsidRDefault="00A52F5A" w:rsidP="00A52F5A">
            <w:pPr>
              <w:spacing w:line="240" w:lineRule="auto"/>
              <w:rPr>
                <w:rFonts w:ascii="Times New Roman" w:hAnsi="Times New Roman"/>
              </w:rPr>
            </w:pPr>
            <w:r w:rsidRPr="0095120B">
              <w:rPr>
                <w:rFonts w:ascii="Times New Roman" w:hAnsi="Times New Roman"/>
              </w:rPr>
              <w:t xml:space="preserve">Źródła finansowania </w:t>
            </w:r>
          </w:p>
        </w:tc>
        <w:tc>
          <w:tcPr>
            <w:tcW w:w="8811" w:type="dxa"/>
            <w:gridSpan w:val="25"/>
            <w:shd w:val="clear" w:color="auto" w:fill="FFFFFF"/>
            <w:vAlign w:val="center"/>
          </w:tcPr>
          <w:p w14:paraId="60626789" w14:textId="3D754F5B" w:rsidR="00A52F5A" w:rsidRPr="0095120B" w:rsidRDefault="00A52F5A" w:rsidP="00A52F5A">
            <w:pPr>
              <w:spacing w:line="240" w:lineRule="auto"/>
              <w:jc w:val="both"/>
              <w:rPr>
                <w:rFonts w:ascii="Times New Roman" w:hAnsi="Times New Roman"/>
                <w:b/>
                <w:bCs/>
              </w:rPr>
            </w:pPr>
            <w:r w:rsidRPr="0095120B">
              <w:rPr>
                <w:rFonts w:ascii="Times New Roman" w:hAnsi="Times New Roman"/>
                <w:b/>
                <w:bCs/>
              </w:rPr>
              <w:t>Wprowadzane w projekcie zmiany zostaną zrealizowane</w:t>
            </w:r>
            <w:r w:rsidRPr="0095120B">
              <w:rPr>
                <w:rFonts w:ascii="Times New Roman" w:hAnsi="Times New Roman"/>
              </w:rPr>
              <w:t xml:space="preserve"> </w:t>
            </w:r>
            <w:proofErr w:type="spellStart"/>
            <w:r w:rsidRPr="0095120B">
              <w:rPr>
                <w:rFonts w:ascii="Times New Roman" w:hAnsi="Times New Roman"/>
                <w:b/>
                <w:bCs/>
              </w:rPr>
              <w:t>bezkosztowo</w:t>
            </w:r>
            <w:proofErr w:type="spellEnd"/>
            <w:r w:rsidRPr="0095120B">
              <w:rPr>
                <w:rFonts w:ascii="Times New Roman" w:hAnsi="Times New Roman"/>
                <w:b/>
                <w:bCs/>
              </w:rPr>
              <w:t xml:space="preserve">, ponieważ wszelkie wydatki będą pochodziły z środków finansowych </w:t>
            </w:r>
            <w:r>
              <w:rPr>
                <w:rFonts w:ascii="Times New Roman" w:hAnsi="Times New Roman"/>
                <w:b/>
                <w:bCs/>
              </w:rPr>
              <w:t xml:space="preserve">będących w dyspozycji </w:t>
            </w:r>
            <w:r w:rsidRPr="0095120B">
              <w:rPr>
                <w:rFonts w:ascii="Times New Roman" w:hAnsi="Times New Roman"/>
                <w:b/>
                <w:bCs/>
              </w:rPr>
              <w:t>ministra właściwego do spraw zdrowa przeznaczonych na informatyzację albo jak w przypadku podwyższenia dolnego limitu marży hurtowej i regulacji związanych z lekami recepturowymi z całkowitego budżetu na refundację</w:t>
            </w:r>
            <w:r>
              <w:rPr>
                <w:rFonts w:ascii="Times New Roman" w:hAnsi="Times New Roman"/>
                <w:b/>
                <w:bCs/>
              </w:rPr>
              <w:t xml:space="preserve"> będącego częścią planu finansowego </w:t>
            </w:r>
            <w:r w:rsidR="00FB2E7D">
              <w:rPr>
                <w:rFonts w:ascii="Times New Roman" w:hAnsi="Times New Roman"/>
                <w:b/>
                <w:bCs/>
              </w:rPr>
              <w:t>NFZ</w:t>
            </w:r>
            <w:r>
              <w:rPr>
                <w:rFonts w:ascii="Times New Roman" w:hAnsi="Times New Roman"/>
                <w:b/>
                <w:bCs/>
              </w:rPr>
              <w:t xml:space="preserve">, a w przypadku wydatków związanych z Funduszem Medycznym z dostępnych środków </w:t>
            </w:r>
            <w:r w:rsidRPr="002A4F66">
              <w:rPr>
                <w:rFonts w:ascii="Times New Roman" w:hAnsi="Times New Roman"/>
                <w:b/>
                <w:bCs/>
              </w:rPr>
              <w:t>subfundusz</w:t>
            </w:r>
            <w:r>
              <w:rPr>
                <w:rFonts w:ascii="Times New Roman" w:hAnsi="Times New Roman"/>
                <w:b/>
                <w:bCs/>
              </w:rPr>
              <w:t>u</w:t>
            </w:r>
            <w:r w:rsidRPr="002A4F66">
              <w:rPr>
                <w:rFonts w:ascii="Times New Roman" w:hAnsi="Times New Roman"/>
                <w:b/>
                <w:bCs/>
              </w:rPr>
              <w:t xml:space="preserve"> terapeutyczno-innowacyjn</w:t>
            </w:r>
            <w:r>
              <w:rPr>
                <w:rFonts w:ascii="Times New Roman" w:hAnsi="Times New Roman"/>
                <w:b/>
                <w:bCs/>
              </w:rPr>
              <w:t xml:space="preserve">ego w ramach corocznego limitu, który jest </w:t>
            </w:r>
            <w:r w:rsidRPr="002A4F66">
              <w:rPr>
                <w:rFonts w:ascii="Times New Roman" w:hAnsi="Times New Roman"/>
                <w:b/>
                <w:bCs/>
              </w:rPr>
              <w:t> nie większej niż 10% wartości całkowitego budżetu na refundację</w:t>
            </w:r>
            <w:r w:rsidRPr="0095120B">
              <w:rPr>
                <w:rFonts w:ascii="Times New Roman" w:hAnsi="Times New Roman"/>
                <w:b/>
                <w:bCs/>
              </w:rPr>
              <w:t xml:space="preserve">. </w:t>
            </w:r>
          </w:p>
          <w:p w14:paraId="646322D7" w14:textId="263FE595" w:rsidR="00A52F5A" w:rsidRPr="00E33BFE" w:rsidRDefault="00A52F5A" w:rsidP="00A52F5A">
            <w:pPr>
              <w:spacing w:line="240" w:lineRule="auto"/>
              <w:jc w:val="both"/>
              <w:rPr>
                <w:rFonts w:ascii="Times New Roman" w:hAnsi="Times New Roman"/>
              </w:rPr>
            </w:pPr>
            <w:r w:rsidRPr="00E33BFE">
              <w:rPr>
                <w:rFonts w:ascii="Times New Roman" w:hAnsi="Times New Roman"/>
              </w:rPr>
              <w:t>Plany finansowe</w:t>
            </w:r>
            <w:r w:rsidR="00BD4097">
              <w:rPr>
                <w:rFonts w:ascii="Times New Roman" w:hAnsi="Times New Roman"/>
              </w:rPr>
              <w:t xml:space="preserve"> </w:t>
            </w:r>
            <w:r w:rsidR="00FB2E7D">
              <w:rPr>
                <w:rFonts w:ascii="Times New Roman" w:hAnsi="Times New Roman"/>
              </w:rPr>
              <w:t>NFZ</w:t>
            </w:r>
            <w:r w:rsidRPr="00E33BFE">
              <w:rPr>
                <w:rFonts w:ascii="Times New Roman" w:hAnsi="Times New Roman"/>
              </w:rPr>
              <w:t xml:space="preserve"> wskazywały, że całkowity budżet na refundację wynosił w poprzednich latach, dla których jest dostępne roczne sprawozdanie z wykonania planu finansowego </w:t>
            </w:r>
            <w:r>
              <w:rPr>
                <w:rFonts w:ascii="Times New Roman" w:hAnsi="Times New Roman"/>
              </w:rPr>
              <w:t>NFZ</w:t>
            </w:r>
            <w:r w:rsidRPr="00E33BFE">
              <w:rPr>
                <w:rFonts w:ascii="Times New Roman" w:hAnsi="Times New Roman"/>
              </w:rPr>
              <w:t>:</w:t>
            </w:r>
          </w:p>
          <w:p w14:paraId="5D574681" w14:textId="53B05BC4" w:rsidR="00A52F5A" w:rsidRDefault="00A52F5A" w:rsidP="00A52F5A">
            <w:pPr>
              <w:pStyle w:val="Akapitzlist"/>
              <w:numPr>
                <w:ilvl w:val="0"/>
                <w:numId w:val="49"/>
              </w:numPr>
              <w:jc w:val="both"/>
              <w:rPr>
                <w:rFonts w:ascii="Times New Roman" w:hAnsi="Times New Roman"/>
              </w:rPr>
            </w:pPr>
            <w:r w:rsidRPr="00A630B1">
              <w:rPr>
                <w:rFonts w:ascii="Times New Roman" w:hAnsi="Times New Roman"/>
              </w:rPr>
              <w:t>w 2017 r. – 12 300 800 tys. zł, realizacja całkowitego budżetu na refundację ukształtowała się na poziomie 12 165 049,04 tys. zł i stanowiła 98,90% wartości planowanej;</w:t>
            </w:r>
          </w:p>
          <w:p w14:paraId="6619A3CF" w14:textId="6EEC85C8" w:rsidR="00A52F5A" w:rsidRDefault="00A52F5A" w:rsidP="00A52F5A">
            <w:pPr>
              <w:pStyle w:val="Akapitzlist"/>
              <w:numPr>
                <w:ilvl w:val="0"/>
                <w:numId w:val="49"/>
              </w:numPr>
              <w:jc w:val="both"/>
              <w:rPr>
                <w:rFonts w:ascii="Times New Roman" w:hAnsi="Times New Roman"/>
              </w:rPr>
            </w:pPr>
            <w:r w:rsidRPr="00A80474">
              <w:rPr>
                <w:rFonts w:ascii="Times New Roman" w:hAnsi="Times New Roman"/>
              </w:rPr>
              <w:t>w 2018 r. – 12 772 506 tys. zł, odnotowana na koniec 2018 r. realizacja całkowitego budżetu na refundację ukształtowała się na poziomie 12 635 986,22 tys. zł i stanowiła 98,93% wartości planowanej;</w:t>
            </w:r>
          </w:p>
          <w:p w14:paraId="73A65E0D" w14:textId="46D94436" w:rsidR="00A52F5A" w:rsidRDefault="00A52F5A" w:rsidP="00A52F5A">
            <w:pPr>
              <w:pStyle w:val="Akapitzlist"/>
              <w:numPr>
                <w:ilvl w:val="0"/>
                <w:numId w:val="49"/>
              </w:numPr>
              <w:jc w:val="both"/>
              <w:rPr>
                <w:rFonts w:ascii="Times New Roman" w:hAnsi="Times New Roman"/>
              </w:rPr>
            </w:pPr>
            <w:r w:rsidRPr="00A80474">
              <w:rPr>
                <w:rFonts w:ascii="Times New Roman" w:hAnsi="Times New Roman"/>
              </w:rPr>
              <w:t>w 2019 r. – 13 513 855 tys. zł; realizacja całkowitego budżetu na refundację ukształtowała się na poziomie 13 364 709,90 tys. zł i stanowiła 98,90% wartości planowanej;</w:t>
            </w:r>
          </w:p>
          <w:p w14:paraId="3CD641FD" w14:textId="29FB0F78" w:rsidR="00A52F5A" w:rsidRDefault="00A52F5A" w:rsidP="00A52F5A">
            <w:pPr>
              <w:pStyle w:val="Akapitzlist"/>
              <w:numPr>
                <w:ilvl w:val="0"/>
                <w:numId w:val="49"/>
              </w:numPr>
              <w:jc w:val="both"/>
              <w:rPr>
                <w:rFonts w:ascii="Times New Roman" w:hAnsi="Times New Roman"/>
              </w:rPr>
            </w:pPr>
            <w:r w:rsidRPr="00A80474">
              <w:rPr>
                <w:rFonts w:ascii="Times New Roman" w:hAnsi="Times New Roman"/>
              </w:rPr>
              <w:t xml:space="preserve">w 2020 r. – 14 967 735 tys. zł, realizacja całkowitego budżetu na refundację ukształtowała się na poziomie 14 592 286,90 </w:t>
            </w:r>
            <w:r w:rsidR="00D5007C">
              <w:rPr>
                <w:rFonts w:ascii="Times New Roman" w:hAnsi="Times New Roman"/>
              </w:rPr>
              <w:t xml:space="preserve">tys. zł </w:t>
            </w:r>
            <w:r w:rsidRPr="00A80474">
              <w:rPr>
                <w:rFonts w:ascii="Times New Roman" w:hAnsi="Times New Roman"/>
              </w:rPr>
              <w:t>i stanowiła 97,49% wartości planowanej;</w:t>
            </w:r>
          </w:p>
          <w:p w14:paraId="5ED0A1E1" w14:textId="489A4209" w:rsidR="00A52F5A" w:rsidRDefault="00A52F5A" w:rsidP="00A52F5A">
            <w:pPr>
              <w:pStyle w:val="Akapitzlist"/>
              <w:numPr>
                <w:ilvl w:val="0"/>
                <w:numId w:val="49"/>
              </w:numPr>
              <w:jc w:val="both"/>
              <w:rPr>
                <w:rFonts w:ascii="Times New Roman" w:hAnsi="Times New Roman"/>
              </w:rPr>
            </w:pPr>
            <w:r w:rsidRPr="00A80474">
              <w:rPr>
                <w:rFonts w:ascii="Times New Roman" w:hAnsi="Times New Roman"/>
              </w:rPr>
              <w:t xml:space="preserve">w 2021 r. </w:t>
            </w:r>
            <w:r>
              <w:rPr>
                <w:rFonts w:ascii="Times New Roman" w:hAnsi="Times New Roman"/>
              </w:rPr>
              <w:t xml:space="preserve">– </w:t>
            </w:r>
            <w:r w:rsidRPr="00A80474">
              <w:rPr>
                <w:rFonts w:ascii="Times New Roman" w:hAnsi="Times New Roman"/>
              </w:rPr>
              <w:t>15 742 853 tys. zł, realizacja całkowitego budżetu na refundację ukształtowała się na poziomie 15 310 923,71 tys. zł i stanowiła 97,26% wartości planowanej;</w:t>
            </w:r>
          </w:p>
          <w:p w14:paraId="563C6A34" w14:textId="31153C54" w:rsidR="00D5007C" w:rsidRDefault="00A52F5A" w:rsidP="006D7335">
            <w:pPr>
              <w:pStyle w:val="Akapitzlist"/>
              <w:numPr>
                <w:ilvl w:val="0"/>
                <w:numId w:val="49"/>
              </w:numPr>
              <w:jc w:val="both"/>
              <w:rPr>
                <w:rFonts w:ascii="Times New Roman" w:hAnsi="Times New Roman"/>
              </w:rPr>
            </w:pPr>
            <w:r w:rsidRPr="006D7335">
              <w:rPr>
                <w:rFonts w:ascii="Times New Roman" w:hAnsi="Times New Roman"/>
              </w:rPr>
              <w:t>w 2022 r. – 18 007 957 tys. zł, realizacja całkowitego budżetu na refundację ukształtowała się na poziomie 17 270 754,55 tys. zł i stanowiła 95,91% wartości planowanej;</w:t>
            </w:r>
          </w:p>
          <w:p w14:paraId="0AB7FF80" w14:textId="16B827AD" w:rsidR="00A52F5A" w:rsidRPr="006D7335" w:rsidRDefault="00A52F5A" w:rsidP="006D7335">
            <w:pPr>
              <w:pStyle w:val="Akapitzlist"/>
              <w:numPr>
                <w:ilvl w:val="0"/>
                <w:numId w:val="49"/>
              </w:numPr>
              <w:jc w:val="both"/>
              <w:rPr>
                <w:rFonts w:ascii="Times New Roman" w:hAnsi="Times New Roman"/>
              </w:rPr>
            </w:pPr>
            <w:r w:rsidRPr="006D7335">
              <w:rPr>
                <w:rFonts w:ascii="Times New Roman" w:hAnsi="Times New Roman"/>
              </w:rPr>
              <w:t>w 2023 r. – 21 487 337 tys. zł, realizacja całkowitego budżetu na refundację ukształtowała się na poziomie 20 980 420,82 tys. zł i stanowiła 97,64% wartości planowanej.</w:t>
            </w:r>
          </w:p>
          <w:p w14:paraId="0783EF6F" w14:textId="46A8D2F9" w:rsidR="00A52F5A" w:rsidRPr="006D7335" w:rsidRDefault="00A52F5A" w:rsidP="00A52F5A">
            <w:pPr>
              <w:spacing w:line="240" w:lineRule="auto"/>
              <w:jc w:val="both"/>
              <w:rPr>
                <w:rFonts w:ascii="Times New Roman" w:hAnsi="Times New Roman"/>
              </w:rPr>
            </w:pPr>
            <w:r w:rsidRPr="006D7335">
              <w:rPr>
                <w:rFonts w:ascii="Times New Roman" w:hAnsi="Times New Roman"/>
              </w:rPr>
              <w:t>Należy zauważyć, że całkowity budżet na refundację rośnie wraz ze każdorocznym wzrostem środków publicznych przeznaczonych na finansowanie świadczeń gwarantowanych. Niewykorzystane środki finansowe dostępne w ramach całkowitego budżetu na refundację w 2023 r. wynoszą około 500 mln zł, a więc są dużo wyższe niż przewidywane wydatki związane z planowanym zmianami, które mają wynosić</w:t>
            </w:r>
            <w:r w:rsidR="005653C4">
              <w:rPr>
                <w:rFonts w:ascii="Times New Roman" w:hAnsi="Times New Roman"/>
              </w:rPr>
              <w:t xml:space="preserve"> </w:t>
            </w:r>
            <w:r w:rsidRPr="006D7335">
              <w:rPr>
                <w:rFonts w:ascii="Times New Roman" w:hAnsi="Times New Roman"/>
              </w:rPr>
              <w:t>27,65</w:t>
            </w:r>
            <w:r w:rsidR="00F0702F">
              <w:rPr>
                <w:rFonts w:ascii="Times New Roman" w:hAnsi="Times New Roman"/>
              </w:rPr>
              <w:t xml:space="preserve"> </w:t>
            </w:r>
            <w:r w:rsidRPr="006D7335">
              <w:rPr>
                <w:rFonts w:ascii="Times New Roman" w:hAnsi="Times New Roman"/>
              </w:rPr>
              <w:t>mln zł rocznie.</w:t>
            </w:r>
          </w:p>
          <w:p w14:paraId="514FF13B" w14:textId="3A0C5E21" w:rsidR="00A52F5A" w:rsidRPr="0095120B" w:rsidRDefault="00A52F5A" w:rsidP="00A52F5A">
            <w:pPr>
              <w:spacing w:line="240" w:lineRule="auto"/>
              <w:jc w:val="both"/>
              <w:rPr>
                <w:rFonts w:ascii="Times New Roman" w:hAnsi="Times New Roman"/>
              </w:rPr>
            </w:pPr>
            <w:r w:rsidRPr="006D7335">
              <w:rPr>
                <w:rFonts w:ascii="Times New Roman" w:hAnsi="Times New Roman"/>
              </w:rPr>
              <w:t>W związku z powyższym nie przewiduje się konieczności przekazania</w:t>
            </w:r>
            <w:r w:rsidRPr="0095120B">
              <w:rPr>
                <w:rFonts w:ascii="Times New Roman" w:hAnsi="Times New Roman"/>
              </w:rPr>
              <w:t xml:space="preserve"> dodatkowych środków finansowych na ten cel.</w:t>
            </w:r>
          </w:p>
          <w:p w14:paraId="68E84026" w14:textId="59A8D5D5" w:rsidR="00A52F5A" w:rsidRPr="0095120B" w:rsidRDefault="00A52F5A" w:rsidP="00D5007C">
            <w:pPr>
              <w:spacing w:line="240" w:lineRule="auto"/>
              <w:jc w:val="both"/>
              <w:rPr>
                <w:rFonts w:ascii="Times New Roman" w:hAnsi="Times New Roman"/>
              </w:rPr>
            </w:pPr>
            <w:r w:rsidRPr="0095120B">
              <w:rPr>
                <w:rFonts w:ascii="Times New Roman" w:hAnsi="Times New Roman"/>
              </w:rPr>
              <w:t>Skutki finansowe wynikające z projektu dla Ministra Zdrowia zostaną pokryte w ramach nakładów, o których mowa w art. 131c ustawy z dnia 27 sierpnia 2004 r. o świadczeniach opieki zdrowotnej finansowanych ze środków publicznych</w:t>
            </w:r>
            <w:r w:rsidR="00D5007C">
              <w:rPr>
                <w:rFonts w:ascii="Times New Roman" w:hAnsi="Times New Roman"/>
              </w:rPr>
              <w:t xml:space="preserve">, </w:t>
            </w:r>
            <w:r w:rsidR="00D5007C" w:rsidRPr="00D5007C">
              <w:rPr>
                <w:rFonts w:ascii="Times New Roman" w:hAnsi="Times New Roman"/>
              </w:rPr>
              <w:t>w tym w ramach ustalonego funduszu wynagrodzeń, bez ubiegania</w:t>
            </w:r>
            <w:r w:rsidR="00D5007C">
              <w:rPr>
                <w:rFonts w:ascii="Times New Roman" w:hAnsi="Times New Roman"/>
              </w:rPr>
              <w:t xml:space="preserve"> </w:t>
            </w:r>
            <w:r w:rsidR="00D5007C" w:rsidRPr="00D5007C">
              <w:rPr>
                <w:rFonts w:ascii="Times New Roman" w:hAnsi="Times New Roman"/>
              </w:rPr>
              <w:t>się o dodatkowe środki z budżetu państwa</w:t>
            </w:r>
            <w:r w:rsidRPr="0095120B">
              <w:rPr>
                <w:rFonts w:ascii="Times New Roman" w:hAnsi="Times New Roman"/>
              </w:rPr>
              <w:t>.</w:t>
            </w:r>
          </w:p>
          <w:p w14:paraId="42FDADE2" w14:textId="0E7B21D1" w:rsidR="00A52F5A" w:rsidRPr="0095120B" w:rsidRDefault="00A52F5A" w:rsidP="00A52F5A">
            <w:pPr>
              <w:spacing w:line="240" w:lineRule="auto"/>
              <w:jc w:val="both"/>
              <w:rPr>
                <w:rFonts w:ascii="Times New Roman" w:hAnsi="Times New Roman"/>
              </w:rPr>
            </w:pPr>
            <w:r w:rsidRPr="0095120B">
              <w:rPr>
                <w:rFonts w:ascii="Times New Roman" w:hAnsi="Times New Roman"/>
              </w:rPr>
              <w:t>Wejście w życie projektowanej ustawy nie spowoduje dodatkowych skutków dla jednostek samorządu terytorialnego.</w:t>
            </w:r>
          </w:p>
          <w:p w14:paraId="421E46E5" w14:textId="01375476" w:rsidR="00A52F5A" w:rsidRPr="0095120B" w:rsidRDefault="00A52F5A" w:rsidP="00A52F5A">
            <w:pPr>
              <w:spacing w:line="240" w:lineRule="auto"/>
              <w:jc w:val="both"/>
              <w:rPr>
                <w:rFonts w:ascii="Times New Roman" w:hAnsi="Times New Roman"/>
              </w:rPr>
            </w:pPr>
            <w:r w:rsidRPr="0095120B">
              <w:rPr>
                <w:rFonts w:ascii="Times New Roman" w:hAnsi="Times New Roman"/>
              </w:rPr>
              <w:t xml:space="preserve">Koszt rozbudowy Zintegrowanego Systemu Monitorowania Obrotu Produktami Leczniczymi (ZSMOPL) i utrzymania przez 10 lat został oszacowany na kwotę </w:t>
            </w:r>
            <w:r>
              <w:rPr>
                <w:rFonts w:ascii="Times New Roman" w:hAnsi="Times New Roman"/>
              </w:rPr>
              <w:t xml:space="preserve">22,1 mln </w:t>
            </w:r>
            <w:r w:rsidRPr="0095120B">
              <w:rPr>
                <w:rFonts w:ascii="Times New Roman" w:hAnsi="Times New Roman"/>
              </w:rPr>
              <w:t>zł.</w:t>
            </w:r>
          </w:p>
          <w:p w14:paraId="42204DCE" w14:textId="707AF745" w:rsidR="00A52F5A" w:rsidRPr="0095120B" w:rsidRDefault="00A52F5A" w:rsidP="00A52F5A">
            <w:pPr>
              <w:spacing w:line="240" w:lineRule="auto"/>
              <w:jc w:val="both"/>
              <w:rPr>
                <w:rFonts w:ascii="Times New Roman" w:hAnsi="Times New Roman"/>
              </w:rPr>
            </w:pPr>
            <w:r w:rsidRPr="0095120B">
              <w:rPr>
                <w:rFonts w:ascii="Times New Roman" w:hAnsi="Times New Roman"/>
              </w:rPr>
              <w:t xml:space="preserve">Koszt rozbudowy Systemu Obsługi List Refundacyjnych (SOLR) i utrzymania przez 10 lat został oszacowany na kwotę </w:t>
            </w:r>
            <w:r>
              <w:rPr>
                <w:rFonts w:ascii="Times New Roman" w:hAnsi="Times New Roman"/>
              </w:rPr>
              <w:t>12</w:t>
            </w:r>
            <w:r w:rsidRPr="0095120B">
              <w:rPr>
                <w:rFonts w:ascii="Times New Roman" w:hAnsi="Times New Roman"/>
              </w:rPr>
              <w:t>,</w:t>
            </w:r>
            <w:r>
              <w:rPr>
                <w:rFonts w:ascii="Times New Roman" w:hAnsi="Times New Roman"/>
              </w:rPr>
              <w:t>2</w:t>
            </w:r>
            <w:r w:rsidRPr="0095120B">
              <w:rPr>
                <w:rFonts w:ascii="Times New Roman" w:hAnsi="Times New Roman"/>
              </w:rPr>
              <w:t xml:space="preserve"> mln zł</w:t>
            </w:r>
          </w:p>
          <w:p w14:paraId="2B1C581D" w14:textId="251E0888" w:rsidR="00A52F5A" w:rsidRDefault="00A52F5A" w:rsidP="00A52F5A">
            <w:pPr>
              <w:spacing w:line="240" w:lineRule="auto"/>
              <w:jc w:val="both"/>
              <w:rPr>
                <w:rFonts w:ascii="Times New Roman" w:hAnsi="Times New Roman"/>
              </w:rPr>
            </w:pPr>
            <w:r w:rsidRPr="0095120B">
              <w:rPr>
                <w:rFonts w:ascii="Times New Roman" w:hAnsi="Times New Roman"/>
              </w:rPr>
              <w:t>Koszt budowy oraz utrzymania przez 10 lat Systemu Wspomagania Decyzji Polityki Lekowej (SWDPL) został oszacowany na kwotę 4</w:t>
            </w:r>
            <w:r>
              <w:rPr>
                <w:rFonts w:ascii="Times New Roman" w:hAnsi="Times New Roman"/>
              </w:rPr>
              <w:t>1</w:t>
            </w:r>
            <w:r w:rsidRPr="0095120B">
              <w:rPr>
                <w:rFonts w:ascii="Times New Roman" w:hAnsi="Times New Roman"/>
              </w:rPr>
              <w:t>,</w:t>
            </w:r>
            <w:r>
              <w:rPr>
                <w:rFonts w:ascii="Times New Roman" w:hAnsi="Times New Roman"/>
              </w:rPr>
              <w:t>6</w:t>
            </w:r>
            <w:r w:rsidRPr="0095120B">
              <w:rPr>
                <w:rFonts w:ascii="Times New Roman" w:hAnsi="Times New Roman"/>
              </w:rPr>
              <w:t xml:space="preserve"> mln zł</w:t>
            </w:r>
            <w:r>
              <w:rPr>
                <w:rFonts w:ascii="Times New Roman" w:hAnsi="Times New Roman"/>
              </w:rPr>
              <w:t xml:space="preserve"> Wyliczenia zgodnie z załącznikiem do niniejszego OSR.</w:t>
            </w:r>
          </w:p>
          <w:p w14:paraId="2CD2AC34" w14:textId="0C3A06DA" w:rsidR="00A52F5A" w:rsidRDefault="00A52F5A" w:rsidP="00A52F5A">
            <w:pPr>
              <w:spacing w:line="240" w:lineRule="auto"/>
              <w:jc w:val="both"/>
              <w:rPr>
                <w:rFonts w:ascii="Times New Roman" w:hAnsi="Times New Roman"/>
              </w:rPr>
            </w:pPr>
            <w:r>
              <w:rPr>
                <w:rFonts w:ascii="Times New Roman" w:hAnsi="Times New Roman"/>
              </w:rPr>
              <w:t xml:space="preserve">Łączne koszty związane z projektowanymi systemami teleinformatycznymi przez 10 lat wyniosą </w:t>
            </w:r>
            <w:r w:rsidR="003430EA" w:rsidRPr="003430EA">
              <w:rPr>
                <w:rFonts w:ascii="Times New Roman" w:hAnsi="Times New Roman"/>
              </w:rPr>
              <w:t>75 960 730,05</w:t>
            </w:r>
            <w:r w:rsidRPr="006D7335">
              <w:rPr>
                <w:rFonts w:ascii="Times New Roman" w:hAnsi="Times New Roman"/>
              </w:rPr>
              <w:t xml:space="preserve"> zł</w:t>
            </w:r>
            <w:r>
              <w:rPr>
                <w:rFonts w:ascii="Times New Roman" w:hAnsi="Times New Roman"/>
              </w:rPr>
              <w:t xml:space="preserve"> </w:t>
            </w:r>
            <w:r w:rsidRPr="007859EA">
              <w:rPr>
                <w:rFonts w:ascii="Times New Roman" w:hAnsi="Times New Roman"/>
              </w:rPr>
              <w:t>Minister Zdrowia nie będzie występował o dodatkowe środki zarówno w pierwszym roku wejścia w życie ustawy, jak i w latach kolejnych i sfinansuje ewentualne zwiększenie w ramach dotychczasowych środków, w tym w ramach niezwiększonego z tego tytułu funduszu wynagrodzeń, bez możliwości ubiegania się o dodatkowe środki z budżetu państwa</w:t>
            </w:r>
            <w:r>
              <w:rPr>
                <w:rFonts w:ascii="Times New Roman" w:hAnsi="Times New Roman"/>
              </w:rPr>
              <w:t>.</w:t>
            </w:r>
          </w:p>
          <w:p w14:paraId="54B054D0" w14:textId="39446882" w:rsidR="00A52F5A" w:rsidRPr="0095120B" w:rsidRDefault="00A52F5A" w:rsidP="00A52F5A">
            <w:pPr>
              <w:spacing w:line="240" w:lineRule="auto"/>
              <w:jc w:val="both"/>
              <w:rPr>
                <w:rFonts w:ascii="Times New Roman" w:hAnsi="Times New Roman"/>
                <w:highlight w:val="yellow"/>
              </w:rPr>
            </w:pPr>
            <w:bookmarkStart w:id="7" w:name="_Hlk187964236"/>
            <w:r>
              <w:rPr>
                <w:rFonts w:ascii="Times New Roman" w:hAnsi="Times New Roman"/>
              </w:rPr>
              <w:t>Większość zaproponowanych zmiany w projekcie są bez kosztowe</w:t>
            </w:r>
            <w:r w:rsidR="00527747">
              <w:rPr>
                <w:rFonts w:ascii="Times New Roman" w:hAnsi="Times New Roman"/>
              </w:rPr>
              <w:t>,</w:t>
            </w:r>
            <w:r>
              <w:rPr>
                <w:rFonts w:ascii="Times New Roman" w:hAnsi="Times New Roman"/>
              </w:rPr>
              <w:t xml:space="preserve"> ponieważ polegają w zdecydowanej większość na zmian przepisów proceduralnych, których celem jest ułatwienie oraz przyspieszenie postępowań o objęcie refundacją i ustalenia ceny zbytu netto lub polegają na upublicznieniu informacji, posiadanej obecnie przez Ministra Zdrowia bądź jednostki mu podległe. </w:t>
            </w:r>
            <w:bookmarkEnd w:id="7"/>
          </w:p>
        </w:tc>
      </w:tr>
      <w:tr w:rsidR="00A52F5A" w:rsidRPr="0095120B" w14:paraId="03D72ED3" w14:textId="77777777" w:rsidTr="003F6220">
        <w:trPr>
          <w:trHeight w:val="1124"/>
        </w:trPr>
        <w:tc>
          <w:tcPr>
            <w:tcW w:w="1992" w:type="dxa"/>
            <w:gridSpan w:val="2"/>
            <w:shd w:val="clear" w:color="auto" w:fill="FFFFFF"/>
          </w:tcPr>
          <w:p w14:paraId="5DC389C4" w14:textId="77777777" w:rsidR="00A52F5A" w:rsidRPr="0095120B" w:rsidRDefault="00A52F5A" w:rsidP="00A52F5A">
            <w:pPr>
              <w:spacing w:line="240" w:lineRule="auto"/>
              <w:rPr>
                <w:rFonts w:ascii="Times New Roman" w:hAnsi="Times New Roman"/>
              </w:rPr>
            </w:pPr>
            <w:r w:rsidRPr="0095120B">
              <w:rPr>
                <w:rFonts w:ascii="Times New Roman" w:hAnsi="Times New Roman"/>
              </w:rPr>
              <w:t>Dodatkowe informacje, w tym wskazanie źródeł danych i przyjętych do obliczeń założeń</w:t>
            </w:r>
          </w:p>
        </w:tc>
        <w:tc>
          <w:tcPr>
            <w:tcW w:w="8811" w:type="dxa"/>
            <w:gridSpan w:val="25"/>
            <w:shd w:val="clear" w:color="auto" w:fill="FFFFFF"/>
          </w:tcPr>
          <w:p w14:paraId="10C886A1" w14:textId="77777777" w:rsidR="003F6220" w:rsidRDefault="00A52F5A" w:rsidP="003F6220">
            <w:pPr>
              <w:pStyle w:val="xmsolistparagraph"/>
              <w:numPr>
                <w:ilvl w:val="0"/>
                <w:numId w:val="52"/>
              </w:numPr>
              <w:spacing w:line="252" w:lineRule="auto"/>
              <w:jc w:val="both"/>
              <w:rPr>
                <w:rFonts w:ascii="Times New Roman" w:eastAsia="Times New Roman" w:hAnsi="Times New Roman" w:cs="Times New Roman"/>
                <w:b/>
                <w:bCs/>
                <w:color w:val="000000" w:themeColor="text1"/>
                <w:sz w:val="22"/>
                <w:szCs w:val="22"/>
              </w:rPr>
            </w:pPr>
            <w:r w:rsidRPr="006D7335">
              <w:rPr>
                <w:rFonts w:ascii="Times New Roman" w:eastAsia="Times New Roman" w:hAnsi="Times New Roman" w:cs="Times New Roman"/>
                <w:b/>
                <w:bCs/>
                <w:color w:val="000000" w:themeColor="text1"/>
                <w:sz w:val="22"/>
                <w:szCs w:val="22"/>
              </w:rPr>
              <w:t>Wydatki Funduszu Medycznego.</w:t>
            </w:r>
          </w:p>
          <w:p w14:paraId="21C527AC" w14:textId="77E1925F" w:rsidR="005A13C4" w:rsidRPr="005A13C4" w:rsidRDefault="00A52F5A" w:rsidP="00AA6F40">
            <w:pPr>
              <w:pStyle w:val="xmsolistparagraph"/>
              <w:spacing w:line="252" w:lineRule="auto"/>
              <w:jc w:val="both"/>
              <w:rPr>
                <w:rFonts w:ascii="Times New Roman" w:eastAsia="Times New Roman" w:hAnsi="Times New Roman" w:cs="Times New Roman"/>
                <w:b/>
                <w:bCs/>
                <w:color w:val="000000" w:themeColor="text1"/>
                <w:sz w:val="22"/>
                <w:szCs w:val="22"/>
              </w:rPr>
            </w:pPr>
            <w:r w:rsidRPr="003F6220">
              <w:rPr>
                <w:rFonts w:ascii="Times New Roman" w:eastAsia="Times New Roman" w:hAnsi="Times New Roman" w:cs="Times New Roman"/>
                <w:color w:val="000000" w:themeColor="text1"/>
                <w:sz w:val="22"/>
                <w:szCs w:val="22"/>
              </w:rPr>
              <w:t xml:space="preserve">Z uwagi na wiele czynników niemożliwych do określenia, a nawet oszacowania, takich jak: wybór terapii w danym przypadku klinicznym, liczba pacjentów kwalifikujących się do terapii dawkowanej indywidualnie, czynniki determinujące dawkę docelową u danego pacjenta jak masa ciała czy powierzchnia masy ciała, możliwość </w:t>
            </w:r>
            <w:proofErr w:type="spellStart"/>
            <w:r w:rsidRPr="003F6220">
              <w:rPr>
                <w:rFonts w:ascii="Times New Roman" w:eastAsia="Times New Roman" w:hAnsi="Times New Roman" w:cs="Times New Roman"/>
                <w:color w:val="000000" w:themeColor="text1"/>
                <w:sz w:val="22"/>
                <w:szCs w:val="22"/>
              </w:rPr>
              <w:t>kohortowania</w:t>
            </w:r>
            <w:proofErr w:type="spellEnd"/>
            <w:r w:rsidRPr="003F6220">
              <w:rPr>
                <w:rFonts w:ascii="Times New Roman" w:eastAsia="Times New Roman" w:hAnsi="Times New Roman" w:cs="Times New Roman"/>
                <w:color w:val="000000" w:themeColor="text1"/>
                <w:sz w:val="22"/>
                <w:szCs w:val="22"/>
              </w:rPr>
              <w:t xml:space="preserve"> pacjentów w obrębie jednego ośrodka stosujących tą samą terapię dawkowaną. Tym samym szacowana wartość strat z tytułu onkologicznych terapii można szacować na ok. 90,5 mln</w:t>
            </w:r>
            <w:r w:rsidR="000A0559" w:rsidRPr="003F6220">
              <w:rPr>
                <w:rFonts w:ascii="Times New Roman" w:eastAsia="Times New Roman" w:hAnsi="Times New Roman" w:cs="Times New Roman"/>
                <w:color w:val="000000" w:themeColor="text1"/>
                <w:sz w:val="22"/>
                <w:szCs w:val="22"/>
              </w:rPr>
              <w:t xml:space="preserve"> zł</w:t>
            </w:r>
            <w:r w:rsidRPr="003F6220">
              <w:rPr>
                <w:rFonts w:ascii="Times New Roman" w:eastAsia="Times New Roman" w:hAnsi="Times New Roman" w:cs="Times New Roman"/>
                <w:color w:val="000000" w:themeColor="text1"/>
                <w:sz w:val="22"/>
                <w:szCs w:val="22"/>
              </w:rPr>
              <w:t xml:space="preserve">. W 2024 </w:t>
            </w:r>
            <w:r w:rsidR="005A13C4" w:rsidRPr="003F6220">
              <w:rPr>
                <w:rFonts w:ascii="Times New Roman" w:eastAsia="Times New Roman" w:hAnsi="Times New Roman" w:cs="Times New Roman"/>
                <w:color w:val="000000" w:themeColor="text1"/>
                <w:sz w:val="22"/>
                <w:szCs w:val="22"/>
              </w:rPr>
              <w:t xml:space="preserve">r. </w:t>
            </w:r>
            <w:r w:rsidRPr="003F6220">
              <w:rPr>
                <w:rFonts w:ascii="Times New Roman" w:eastAsia="Times New Roman" w:hAnsi="Times New Roman" w:cs="Times New Roman"/>
                <w:color w:val="000000" w:themeColor="text1"/>
                <w:sz w:val="22"/>
                <w:szCs w:val="22"/>
              </w:rPr>
              <w:t>zrefundowano 135 nowych terapii, w tym 16 dotyczyło nieonkologicznych terapii chorób rzadkich w programach lekowych. Z tego 7 substancji czynnych podawanych było drogą parenteralną, w tym nie wszystkie generowały straty lekowe oraz część zgodnie z zarządzeniem Prezesa NFZ rozliczana jest na fiolki zamiast podanych mg substancji czynnej – niwelując ryzyko finansowe po stronie szpitali kontraktujących taką terapię. Uwzględniając powyższe, straty nieonkologicznych terapii parenteralnych stosowanych w chorobach rzadkich, rozliczanych wg ilości leku podanego pacjentowi, można szacować na ok. 10% wartości strat generowanych przez leki onkologiczne, tj. ok. 9,05 mln zł. W związku z powyższym w ramach środków F</w:t>
            </w:r>
            <w:r w:rsidR="005A13C4" w:rsidRPr="003F6220">
              <w:rPr>
                <w:rFonts w:ascii="Times New Roman" w:eastAsia="Times New Roman" w:hAnsi="Times New Roman" w:cs="Times New Roman"/>
                <w:color w:val="000000" w:themeColor="text1"/>
                <w:sz w:val="22"/>
                <w:szCs w:val="22"/>
              </w:rPr>
              <w:t xml:space="preserve">unduszu </w:t>
            </w:r>
            <w:r w:rsidRPr="003F6220">
              <w:rPr>
                <w:rFonts w:ascii="Times New Roman" w:eastAsia="Times New Roman" w:hAnsi="Times New Roman" w:cs="Times New Roman"/>
                <w:color w:val="000000" w:themeColor="text1"/>
                <w:sz w:val="22"/>
                <w:szCs w:val="22"/>
              </w:rPr>
              <w:t>M</w:t>
            </w:r>
            <w:r w:rsidR="005A13C4" w:rsidRPr="003F6220">
              <w:rPr>
                <w:rFonts w:ascii="Times New Roman" w:eastAsia="Times New Roman" w:hAnsi="Times New Roman" w:cs="Times New Roman"/>
                <w:color w:val="000000" w:themeColor="text1"/>
                <w:sz w:val="22"/>
                <w:szCs w:val="22"/>
              </w:rPr>
              <w:t>edycznego</w:t>
            </w:r>
            <w:r w:rsidRPr="003F6220">
              <w:rPr>
                <w:rFonts w:ascii="Times New Roman" w:eastAsia="Times New Roman" w:hAnsi="Times New Roman" w:cs="Times New Roman"/>
                <w:color w:val="000000" w:themeColor="text1"/>
                <w:sz w:val="22"/>
                <w:szCs w:val="22"/>
              </w:rPr>
              <w:t xml:space="preserve"> proponuje się wyodrębnienie środków o wartości 100 mln zł w </w:t>
            </w:r>
            <w:r w:rsidR="005A13C4" w:rsidRPr="003F6220">
              <w:rPr>
                <w:rFonts w:ascii="Times New Roman" w:eastAsia="Times New Roman" w:hAnsi="Times New Roman" w:cs="Times New Roman"/>
                <w:color w:val="000000" w:themeColor="text1"/>
                <w:sz w:val="22"/>
                <w:szCs w:val="22"/>
              </w:rPr>
              <w:t>1</w:t>
            </w:r>
            <w:r w:rsidRPr="003F6220">
              <w:rPr>
                <w:rFonts w:ascii="Times New Roman" w:eastAsia="Times New Roman" w:hAnsi="Times New Roman" w:cs="Times New Roman"/>
                <w:color w:val="000000" w:themeColor="text1"/>
                <w:sz w:val="22"/>
                <w:szCs w:val="22"/>
              </w:rPr>
              <w:t xml:space="preserve"> rok</w:t>
            </w:r>
            <w:r w:rsidR="005A13C4" w:rsidRPr="003F6220">
              <w:rPr>
                <w:rFonts w:ascii="Times New Roman" w:eastAsia="Times New Roman" w:hAnsi="Times New Roman" w:cs="Times New Roman"/>
                <w:color w:val="000000" w:themeColor="text1"/>
                <w:sz w:val="22"/>
                <w:szCs w:val="22"/>
              </w:rPr>
              <w:t>u</w:t>
            </w:r>
            <w:r w:rsidRPr="003F6220">
              <w:rPr>
                <w:rFonts w:ascii="Times New Roman" w:eastAsia="Times New Roman" w:hAnsi="Times New Roman" w:cs="Times New Roman"/>
                <w:color w:val="000000" w:themeColor="text1"/>
                <w:sz w:val="22"/>
                <w:szCs w:val="22"/>
              </w:rPr>
              <w:t xml:space="preserve"> obowiązywania ustawy na realizację zadania dotyczącego finansowania strat leków stosowanych w chorobach rzadkich i onkologii dawkowanych indywidualnie. Natomiast w związku z systematycznym wygasaniem decyzji o objęciu refundacją szacuje się, że koszty te będą wynosiły 66 mln zł w 2 roku oraz 33 mln </w:t>
            </w:r>
            <w:r w:rsidR="000A0559" w:rsidRPr="003F6220">
              <w:rPr>
                <w:rFonts w:ascii="Times New Roman" w:eastAsia="Times New Roman" w:hAnsi="Times New Roman" w:cs="Times New Roman"/>
                <w:color w:val="000000" w:themeColor="text1"/>
                <w:sz w:val="22"/>
                <w:szCs w:val="22"/>
              </w:rPr>
              <w:t xml:space="preserve">zł </w:t>
            </w:r>
            <w:r w:rsidRPr="003F6220">
              <w:rPr>
                <w:rFonts w:ascii="Times New Roman" w:eastAsia="Times New Roman" w:hAnsi="Times New Roman" w:cs="Times New Roman"/>
                <w:color w:val="000000" w:themeColor="text1"/>
                <w:sz w:val="22"/>
                <w:szCs w:val="22"/>
              </w:rPr>
              <w:t xml:space="preserve">w 3 roku obowiązywania ustawy. </w:t>
            </w:r>
            <w:r w:rsidRPr="006D7335">
              <w:rPr>
                <w:rFonts w:ascii="Times New Roman" w:eastAsia="Times New Roman" w:hAnsi="Times New Roman" w:cs="Times New Roman"/>
                <w:color w:val="000000" w:themeColor="text1"/>
                <w:sz w:val="22"/>
                <w:szCs w:val="22"/>
              </w:rPr>
              <w:t xml:space="preserve">W ramach subfunduszu terapeutyczno-innowacyjnego każdego roku jest zarezerwowane ponad 1 mld zł, które nie są obecnie w pełni wykorzystywane. W związku z powyższym nie przewiduje się konieczności </w:t>
            </w:r>
            <w:r w:rsidRPr="006C5882">
              <w:rPr>
                <w:rFonts w:ascii="Times New Roman" w:eastAsia="Times New Roman" w:hAnsi="Times New Roman" w:cs="Times New Roman"/>
                <w:color w:val="000000" w:themeColor="text1"/>
                <w:sz w:val="22"/>
                <w:szCs w:val="22"/>
              </w:rPr>
              <w:t>przekazania dodatkowych środków finansowych na ten cel.</w:t>
            </w:r>
            <w:r w:rsidR="00E62F84" w:rsidRPr="006C5882">
              <w:rPr>
                <w:rFonts w:ascii="Times New Roman" w:eastAsia="Calibri" w:hAnsi="Times New Roman" w:cs="Times New Roman"/>
                <w:sz w:val="22"/>
                <w:szCs w:val="22"/>
                <w:lang w:eastAsia="en-US"/>
              </w:rPr>
              <w:t xml:space="preserve"> W związku z powyższym </w:t>
            </w:r>
            <w:r w:rsidR="001F4639" w:rsidRPr="006C5882">
              <w:rPr>
                <w:rFonts w:ascii="Times New Roman" w:eastAsia="Calibri" w:hAnsi="Times New Roman" w:cs="Times New Roman"/>
                <w:sz w:val="22"/>
                <w:szCs w:val="22"/>
                <w:lang w:eastAsia="en-US"/>
              </w:rPr>
              <w:t>środki przeznaczone na finansowanie strat leków stosowanych w chorobach rzadkich i onkologii dawkowanych indywidualnie będą pochodziły z poz. 4.2.</w:t>
            </w:r>
            <w:r w:rsidR="001F4639" w:rsidRPr="006C5882">
              <w:rPr>
                <w:rFonts w:ascii="Times New Roman" w:hAnsi="Times New Roman" w:cs="Times New Roman"/>
              </w:rPr>
              <w:t xml:space="preserve"> </w:t>
            </w:r>
            <w:r w:rsidR="001F4639" w:rsidRPr="006C5882">
              <w:rPr>
                <w:rFonts w:ascii="Times New Roman" w:eastAsia="Calibri" w:hAnsi="Times New Roman" w:cs="Times New Roman"/>
                <w:sz w:val="22"/>
                <w:szCs w:val="22"/>
                <w:lang w:eastAsia="en-US"/>
              </w:rPr>
              <w:t>planu finansowego Funduszu Medycznego.</w:t>
            </w:r>
          </w:p>
          <w:p w14:paraId="0B448667" w14:textId="14029654" w:rsidR="00A52F5A" w:rsidRPr="006D7335" w:rsidRDefault="00A52F5A" w:rsidP="00A52F5A">
            <w:pPr>
              <w:pStyle w:val="xmsolistparagraph"/>
              <w:numPr>
                <w:ilvl w:val="0"/>
                <w:numId w:val="52"/>
              </w:numPr>
              <w:spacing w:line="252" w:lineRule="auto"/>
              <w:ind w:left="476" w:hanging="502"/>
              <w:jc w:val="both"/>
              <w:rPr>
                <w:rFonts w:ascii="Times New Roman" w:eastAsia="Times New Roman" w:hAnsi="Times New Roman" w:cs="Times New Roman"/>
                <w:b/>
                <w:bCs/>
                <w:color w:val="000000" w:themeColor="text1"/>
                <w:sz w:val="22"/>
                <w:szCs w:val="22"/>
              </w:rPr>
            </w:pPr>
            <w:r w:rsidRPr="006D7335">
              <w:rPr>
                <w:rFonts w:ascii="Times New Roman" w:eastAsia="Times New Roman" w:hAnsi="Times New Roman" w:cs="Times New Roman"/>
                <w:b/>
                <w:bCs/>
                <w:color w:val="000000" w:themeColor="text1"/>
                <w:sz w:val="22"/>
                <w:szCs w:val="22"/>
              </w:rPr>
              <w:t xml:space="preserve">Wydatki i </w:t>
            </w:r>
            <w:r w:rsidR="006204E7">
              <w:rPr>
                <w:rFonts w:ascii="Times New Roman" w:eastAsia="Times New Roman" w:hAnsi="Times New Roman" w:cs="Times New Roman"/>
                <w:b/>
                <w:bCs/>
                <w:color w:val="000000" w:themeColor="text1"/>
                <w:sz w:val="22"/>
                <w:szCs w:val="22"/>
              </w:rPr>
              <w:t>oszczędności</w:t>
            </w:r>
            <w:r w:rsidR="006204E7" w:rsidRPr="006D7335">
              <w:rPr>
                <w:rFonts w:ascii="Times New Roman" w:eastAsia="Times New Roman" w:hAnsi="Times New Roman" w:cs="Times New Roman"/>
                <w:b/>
                <w:bCs/>
                <w:color w:val="000000" w:themeColor="text1"/>
                <w:sz w:val="22"/>
                <w:szCs w:val="22"/>
              </w:rPr>
              <w:t xml:space="preserve"> </w:t>
            </w:r>
            <w:r w:rsidRPr="006D7335">
              <w:rPr>
                <w:rFonts w:ascii="Times New Roman" w:eastAsia="Times New Roman" w:hAnsi="Times New Roman" w:cs="Times New Roman"/>
                <w:b/>
                <w:bCs/>
                <w:color w:val="000000" w:themeColor="text1"/>
                <w:sz w:val="22"/>
                <w:szCs w:val="22"/>
              </w:rPr>
              <w:t>NFZ</w:t>
            </w:r>
          </w:p>
          <w:p w14:paraId="31198979" w14:textId="61810BF8" w:rsidR="00A52F5A" w:rsidRPr="006D7335" w:rsidRDefault="00A52F5A" w:rsidP="006D7335">
            <w:pPr>
              <w:pStyle w:val="xmsolistparagraph"/>
              <w:numPr>
                <w:ilvl w:val="1"/>
                <w:numId w:val="52"/>
              </w:numPr>
              <w:spacing w:line="252" w:lineRule="auto"/>
              <w:jc w:val="both"/>
              <w:rPr>
                <w:rFonts w:ascii="Times New Roman" w:eastAsia="Times New Roman" w:hAnsi="Times New Roman" w:cs="Times New Roman"/>
                <w:b/>
                <w:bCs/>
                <w:color w:val="000000" w:themeColor="text1"/>
                <w:sz w:val="22"/>
                <w:szCs w:val="22"/>
              </w:rPr>
            </w:pPr>
            <w:r w:rsidRPr="006D7335">
              <w:rPr>
                <w:rFonts w:ascii="Times New Roman" w:eastAsia="Times New Roman" w:hAnsi="Times New Roman" w:cs="Times New Roman"/>
                <w:b/>
                <w:bCs/>
                <w:color w:val="000000" w:themeColor="text1"/>
                <w:sz w:val="22"/>
                <w:szCs w:val="22"/>
              </w:rPr>
              <w:t>Podwyższenie marży hurtowej</w:t>
            </w:r>
          </w:p>
          <w:p w14:paraId="740B2E8B" w14:textId="38AFE1DC" w:rsidR="00A52F5A" w:rsidRPr="006D7335" w:rsidRDefault="00A52F5A" w:rsidP="003F6220">
            <w:pPr>
              <w:pStyle w:val="xmsolistparagraph"/>
              <w:spacing w:line="252" w:lineRule="auto"/>
              <w:jc w:val="both"/>
              <w:rPr>
                <w:rFonts w:ascii="Times New Roman" w:eastAsia="Times New Roman" w:hAnsi="Times New Roman" w:cs="Times New Roman"/>
                <w:color w:val="000000" w:themeColor="text1"/>
                <w:sz w:val="22"/>
                <w:szCs w:val="22"/>
              </w:rPr>
            </w:pPr>
            <w:r w:rsidRPr="006D7335">
              <w:rPr>
                <w:rFonts w:ascii="Times New Roman" w:eastAsia="Times New Roman" w:hAnsi="Times New Roman" w:cs="Times New Roman"/>
                <w:color w:val="000000" w:themeColor="text1"/>
                <w:sz w:val="22"/>
                <w:szCs w:val="22"/>
              </w:rPr>
              <w:t xml:space="preserve">Podwyższenie dolnego limitu marży hurtowej do 80 gr będzie skutkowało podwyższeniem marży hurtowej dla ponad 1300 produktów, co na dzień wykonania analizy przełoży się na wzrost wydatków płatnika o 54,5 mln zł rocznie, co na przestrzeni 10 lat zsumuje się do kwoty 545 mln zł. Wydatki te zostaną pokryte ze wzrostu całkowitego budżetu na refundację, który wynosi nie więcej niż 17% sumy środków publicznych przeznaczonych na finansowanie świadczeń gwarantowanych w planie finansowym NFZ, zatwierdzonym w trybie, o którym mowa w art. 121 ust. 4 ustawy z dnia 27 sierpnia 2004 r. o świadczeniach opieki zdrowotnej finansowanych ze środków publicznych oraz środków pochodzących z instrumentów dzielenia ryzyka, o których mowa w art. 11 ust. 5 ustawy refundacyjnej, a także zwrotów, o których mowa w art. 34 ust. 1–1b tej samej ustawy. </w:t>
            </w:r>
          </w:p>
          <w:p w14:paraId="641B50E5" w14:textId="6D7FE5A2" w:rsidR="00A52F5A" w:rsidRPr="006D7335" w:rsidRDefault="00A52F5A" w:rsidP="006D7335">
            <w:pPr>
              <w:pStyle w:val="xmsolistparagraph"/>
              <w:numPr>
                <w:ilvl w:val="1"/>
                <w:numId w:val="52"/>
              </w:numPr>
              <w:spacing w:line="252" w:lineRule="auto"/>
              <w:jc w:val="both"/>
              <w:rPr>
                <w:rFonts w:ascii="Times New Roman" w:eastAsia="Times New Roman" w:hAnsi="Times New Roman" w:cs="Times New Roman"/>
                <w:b/>
                <w:bCs/>
                <w:color w:val="000000" w:themeColor="text1"/>
                <w:sz w:val="22"/>
                <w:szCs w:val="22"/>
              </w:rPr>
            </w:pPr>
            <w:r w:rsidRPr="006D7335">
              <w:rPr>
                <w:rFonts w:ascii="Times New Roman" w:eastAsia="Times New Roman" w:hAnsi="Times New Roman" w:cs="Times New Roman"/>
                <w:b/>
                <w:bCs/>
                <w:color w:val="000000" w:themeColor="text1"/>
                <w:sz w:val="22"/>
                <w:szCs w:val="22"/>
              </w:rPr>
              <w:t xml:space="preserve">Zwiększenie limitu finansowania surowców farmaceutycznych do wysokości 25 </w:t>
            </w:r>
            <w:proofErr w:type="spellStart"/>
            <w:r w:rsidRPr="006D7335">
              <w:rPr>
                <w:rFonts w:ascii="Times New Roman" w:eastAsia="Times New Roman" w:hAnsi="Times New Roman" w:cs="Times New Roman"/>
                <w:b/>
                <w:bCs/>
                <w:color w:val="000000" w:themeColor="text1"/>
                <w:sz w:val="22"/>
                <w:szCs w:val="22"/>
              </w:rPr>
              <w:t>percentyla</w:t>
            </w:r>
            <w:proofErr w:type="spellEnd"/>
            <w:r w:rsidRPr="006D7335">
              <w:rPr>
                <w:rFonts w:ascii="Times New Roman" w:eastAsia="Times New Roman" w:hAnsi="Times New Roman" w:cs="Times New Roman"/>
                <w:b/>
                <w:bCs/>
                <w:color w:val="000000" w:themeColor="text1"/>
                <w:sz w:val="22"/>
                <w:szCs w:val="22"/>
              </w:rPr>
              <w:t xml:space="preserve"> rozkładu cen danego surowca.</w:t>
            </w:r>
          </w:p>
          <w:tbl>
            <w:tblPr>
              <w:tblStyle w:val="Tabela-Siatka"/>
              <w:tblpPr w:leftFromText="141" w:rightFromText="141" w:vertAnchor="text" w:horzAnchor="margin" w:tblpY="865"/>
              <w:tblOverlap w:val="never"/>
              <w:tblW w:w="7933" w:type="dxa"/>
              <w:tblLook w:val="04A0" w:firstRow="1" w:lastRow="0" w:firstColumn="1" w:lastColumn="0" w:noHBand="0" w:noVBand="1"/>
            </w:tblPr>
            <w:tblGrid>
              <w:gridCol w:w="1271"/>
              <w:gridCol w:w="1422"/>
              <w:gridCol w:w="1413"/>
              <w:gridCol w:w="2126"/>
              <w:gridCol w:w="1701"/>
            </w:tblGrid>
            <w:tr w:rsidR="006D7335" w:rsidRPr="006D7335" w14:paraId="5D7E5D32" w14:textId="77777777" w:rsidTr="002B13FF">
              <w:trPr>
                <w:cantSplit/>
              </w:trPr>
              <w:tc>
                <w:tcPr>
                  <w:tcW w:w="1271" w:type="dxa"/>
                  <w:vAlign w:val="center"/>
                </w:tcPr>
                <w:p w14:paraId="209BE59F"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Kategoria</w:t>
                  </w:r>
                </w:p>
              </w:tc>
              <w:tc>
                <w:tcPr>
                  <w:tcW w:w="1422" w:type="dxa"/>
                  <w:vAlign w:val="center"/>
                </w:tcPr>
                <w:p w14:paraId="17C4D6D0" w14:textId="56C89FEC"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2022</w:t>
                  </w:r>
                  <w:r w:rsidR="003F6220">
                    <w:rPr>
                      <w:rFonts w:ascii="Times New Roman" w:hAnsi="Times New Roman"/>
                      <w:color w:val="000000" w:themeColor="text1"/>
                    </w:rPr>
                    <w:t xml:space="preserve"> r.</w:t>
                  </w:r>
                </w:p>
              </w:tc>
              <w:tc>
                <w:tcPr>
                  <w:tcW w:w="1413" w:type="dxa"/>
                  <w:vAlign w:val="center"/>
                </w:tcPr>
                <w:p w14:paraId="75719910" w14:textId="47E0CA52"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2023</w:t>
                  </w:r>
                  <w:r w:rsidR="003F6220">
                    <w:rPr>
                      <w:rFonts w:ascii="Times New Roman" w:hAnsi="Times New Roman"/>
                      <w:color w:val="000000" w:themeColor="text1"/>
                    </w:rPr>
                    <w:t xml:space="preserve"> r.</w:t>
                  </w:r>
                </w:p>
              </w:tc>
              <w:tc>
                <w:tcPr>
                  <w:tcW w:w="2126" w:type="dxa"/>
                  <w:vAlign w:val="center"/>
                </w:tcPr>
                <w:p w14:paraId="220A0129" w14:textId="1E20DD6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2024</w:t>
                  </w:r>
                  <w:r w:rsidR="003F6220">
                    <w:rPr>
                      <w:rFonts w:ascii="Times New Roman" w:hAnsi="Times New Roman"/>
                      <w:color w:val="000000" w:themeColor="text1"/>
                    </w:rPr>
                    <w:t xml:space="preserve"> r.</w:t>
                  </w:r>
                  <w:r w:rsidRPr="003F6220">
                    <w:rPr>
                      <w:rFonts w:ascii="Times New Roman" w:hAnsi="Times New Roman"/>
                      <w:color w:val="000000" w:themeColor="text1"/>
                    </w:rPr>
                    <w:t>*</w:t>
                  </w:r>
                </w:p>
                <w:p w14:paraId="74DB4F98"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(styczeń – wrzesień)</w:t>
                  </w:r>
                </w:p>
              </w:tc>
              <w:tc>
                <w:tcPr>
                  <w:tcW w:w="1701" w:type="dxa"/>
                  <w:vAlign w:val="center"/>
                </w:tcPr>
                <w:p w14:paraId="1C8961EC" w14:textId="685BA7E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2024</w:t>
                  </w:r>
                  <w:r w:rsidR="003F6220">
                    <w:rPr>
                      <w:rFonts w:ascii="Times New Roman" w:hAnsi="Times New Roman"/>
                      <w:color w:val="000000" w:themeColor="text1"/>
                    </w:rPr>
                    <w:t xml:space="preserve"> r.</w:t>
                  </w:r>
                  <w:r w:rsidRPr="003F6220">
                    <w:rPr>
                      <w:rFonts w:ascii="Times New Roman" w:hAnsi="Times New Roman"/>
                      <w:color w:val="000000" w:themeColor="text1"/>
                    </w:rPr>
                    <w:t xml:space="preserve"> </w:t>
                  </w:r>
                  <w:r w:rsidRPr="00E72C0C">
                    <w:rPr>
                      <w:rFonts w:ascii="Times New Roman" w:hAnsi="Times New Roman"/>
                      <w:color w:val="000000" w:themeColor="text1"/>
                      <w:sz w:val="16"/>
                      <w:szCs w:val="16"/>
                    </w:rPr>
                    <w:t xml:space="preserve">bez </w:t>
                  </w:r>
                  <w:r w:rsidR="00E72C0C" w:rsidRPr="00E72C0C">
                    <w:rPr>
                      <w:rFonts w:ascii="Times New Roman" w:hAnsi="Times New Roman"/>
                      <w:color w:val="000000" w:themeColor="text1"/>
                      <w:sz w:val="16"/>
                      <w:szCs w:val="16"/>
                    </w:rPr>
                    <w:t xml:space="preserve">ustawy z dnia </w:t>
                  </w:r>
                  <w:r w:rsidR="00E72C0C" w:rsidRPr="00E72C0C">
                    <w:rPr>
                      <w:rFonts w:ascii="Times New Roman" w:hAnsi="Times New Roman"/>
                      <w:color w:val="000000" w:themeColor="text1"/>
                      <w:sz w:val="16"/>
                      <w:szCs w:val="16"/>
                    </w:rPr>
                    <w:t>17 sierpnia 2023 r. o zmianie ustawy o refundacji leków, środków spożywczych specjalnego przeznaczenia żywieniowego oraz wyrobów medycznych oraz niektórych innych ustaw</w:t>
                  </w:r>
                </w:p>
              </w:tc>
            </w:tr>
            <w:tr w:rsidR="006D7335" w:rsidRPr="006D7335" w14:paraId="3EF8AA69" w14:textId="77777777" w:rsidTr="002B13FF">
              <w:trPr>
                <w:cantSplit/>
              </w:trPr>
              <w:tc>
                <w:tcPr>
                  <w:tcW w:w="1271" w:type="dxa"/>
                  <w:vAlign w:val="center"/>
                </w:tcPr>
                <w:p w14:paraId="53CA256C"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Refundacja</w:t>
                  </w:r>
                </w:p>
              </w:tc>
              <w:tc>
                <w:tcPr>
                  <w:tcW w:w="1422" w:type="dxa"/>
                  <w:vAlign w:val="center"/>
                </w:tcPr>
                <w:p w14:paraId="0D0A8D69"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386,9 mln zł</w:t>
                  </w:r>
                </w:p>
              </w:tc>
              <w:tc>
                <w:tcPr>
                  <w:tcW w:w="1413" w:type="dxa"/>
                  <w:vAlign w:val="center"/>
                </w:tcPr>
                <w:p w14:paraId="68DF9B35"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555,28 mln zł</w:t>
                  </w:r>
                </w:p>
              </w:tc>
              <w:tc>
                <w:tcPr>
                  <w:tcW w:w="2126" w:type="dxa"/>
                  <w:vAlign w:val="center"/>
                </w:tcPr>
                <w:p w14:paraId="65522495"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200,64 mln zł</w:t>
                  </w:r>
                </w:p>
              </w:tc>
              <w:tc>
                <w:tcPr>
                  <w:tcW w:w="1701" w:type="dxa"/>
                  <w:vAlign w:val="center"/>
                </w:tcPr>
                <w:p w14:paraId="1B524A4A" w14:textId="77777777" w:rsidR="002B13FF" w:rsidRPr="003F6220" w:rsidRDefault="002B13FF" w:rsidP="002B13FF">
                  <w:pPr>
                    <w:pStyle w:val="Akapitzlist"/>
                    <w:ind w:left="0"/>
                    <w:jc w:val="center"/>
                    <w:rPr>
                      <w:rFonts w:ascii="Times New Roman" w:hAnsi="Times New Roman"/>
                      <w:color w:val="000000" w:themeColor="text1"/>
                    </w:rPr>
                  </w:pPr>
                  <w:r w:rsidRPr="003F6220">
                    <w:rPr>
                      <w:rFonts w:ascii="Times New Roman" w:hAnsi="Times New Roman"/>
                      <w:color w:val="000000" w:themeColor="text1"/>
                    </w:rPr>
                    <w:t>709,1 mln zł</w:t>
                  </w:r>
                </w:p>
              </w:tc>
            </w:tr>
          </w:tbl>
          <w:p w14:paraId="1EDB9C14" w14:textId="4FDA40CF" w:rsidR="00A52F5A" w:rsidRPr="003F6220" w:rsidRDefault="00A52F5A" w:rsidP="003F6220">
            <w:pPr>
              <w:rPr>
                <w:rFonts w:ascii="Times New Roman" w:hAnsi="Times New Roman"/>
                <w:color w:val="000000" w:themeColor="text1"/>
              </w:rPr>
            </w:pPr>
            <w:r w:rsidRPr="003F6220">
              <w:rPr>
                <w:rFonts w:ascii="Times New Roman" w:hAnsi="Times New Roman"/>
                <w:color w:val="000000" w:themeColor="text1"/>
              </w:rPr>
              <w:t>Wprowadzenie limitu finansowania surowców farmaceutycznych pozwoliło na znaczące ograniczenie wydatków płatnika publicznego na ich refundację.</w:t>
            </w:r>
          </w:p>
          <w:p w14:paraId="26B0BE33" w14:textId="77777777" w:rsidR="00A52F5A" w:rsidRPr="003F6220" w:rsidRDefault="00A52F5A" w:rsidP="00A52F5A">
            <w:pPr>
              <w:pStyle w:val="Akapitzlist"/>
              <w:rPr>
                <w:rFonts w:ascii="Times New Roman" w:hAnsi="Times New Roman"/>
                <w:color w:val="000000" w:themeColor="text1"/>
              </w:rPr>
            </w:pPr>
          </w:p>
          <w:p w14:paraId="30EDD489" w14:textId="77777777" w:rsidR="002B13FF" w:rsidRPr="003F6220" w:rsidRDefault="002B13FF" w:rsidP="00A52F5A">
            <w:pPr>
              <w:rPr>
                <w:rFonts w:ascii="Times New Roman" w:hAnsi="Times New Roman"/>
                <w:color w:val="000000" w:themeColor="text1"/>
              </w:rPr>
            </w:pPr>
          </w:p>
          <w:p w14:paraId="090E1F73" w14:textId="77777777" w:rsidR="002B13FF" w:rsidRPr="003F6220" w:rsidRDefault="002B13FF" w:rsidP="00A52F5A">
            <w:pPr>
              <w:rPr>
                <w:rFonts w:ascii="Times New Roman" w:hAnsi="Times New Roman"/>
                <w:color w:val="000000" w:themeColor="text1"/>
              </w:rPr>
            </w:pPr>
          </w:p>
          <w:p w14:paraId="15F2330B" w14:textId="77777777" w:rsidR="002B13FF" w:rsidRPr="003F6220" w:rsidRDefault="002B13FF" w:rsidP="00A52F5A">
            <w:pPr>
              <w:rPr>
                <w:rFonts w:ascii="Times New Roman" w:hAnsi="Times New Roman"/>
                <w:color w:val="000000" w:themeColor="text1"/>
              </w:rPr>
            </w:pPr>
          </w:p>
          <w:p w14:paraId="40265B3F" w14:textId="77777777" w:rsidR="003F6220" w:rsidRDefault="003F6220" w:rsidP="006D7335">
            <w:pPr>
              <w:rPr>
                <w:rFonts w:ascii="Times New Roman" w:hAnsi="Times New Roman"/>
                <w:color w:val="000000" w:themeColor="text1"/>
              </w:rPr>
            </w:pPr>
          </w:p>
          <w:p w14:paraId="38CBF6B5" w14:textId="77777777" w:rsidR="00E72C0C" w:rsidRDefault="00E72C0C" w:rsidP="006D7335">
            <w:pPr>
              <w:rPr>
                <w:rFonts w:ascii="Times New Roman" w:hAnsi="Times New Roman"/>
                <w:color w:val="000000" w:themeColor="text1"/>
              </w:rPr>
            </w:pPr>
            <w:r>
              <w:rPr>
                <w:rFonts w:ascii="Times New Roman" w:hAnsi="Times New Roman"/>
                <w:color w:val="000000" w:themeColor="text1"/>
              </w:rPr>
              <w:t xml:space="preserve"> </w:t>
            </w:r>
          </w:p>
          <w:p w14:paraId="1D1F4261" w14:textId="77777777" w:rsidR="00E72C0C" w:rsidRDefault="00E72C0C" w:rsidP="006D7335">
            <w:pPr>
              <w:rPr>
                <w:rFonts w:ascii="Times New Roman" w:hAnsi="Times New Roman"/>
                <w:color w:val="000000" w:themeColor="text1"/>
              </w:rPr>
            </w:pPr>
          </w:p>
          <w:p w14:paraId="2E569ADC" w14:textId="77777777" w:rsidR="00E72C0C" w:rsidRDefault="00E72C0C" w:rsidP="006D7335">
            <w:pPr>
              <w:rPr>
                <w:rFonts w:ascii="Times New Roman" w:hAnsi="Times New Roman"/>
                <w:color w:val="000000" w:themeColor="text1"/>
              </w:rPr>
            </w:pPr>
          </w:p>
          <w:p w14:paraId="7F076733" w14:textId="77777777" w:rsidR="00E72C0C" w:rsidRDefault="00E72C0C" w:rsidP="006D7335">
            <w:pPr>
              <w:rPr>
                <w:rFonts w:ascii="Times New Roman" w:hAnsi="Times New Roman"/>
                <w:color w:val="000000" w:themeColor="text1"/>
              </w:rPr>
            </w:pPr>
          </w:p>
          <w:p w14:paraId="0D379D91" w14:textId="77777777" w:rsidR="00E72C0C" w:rsidRDefault="00E72C0C" w:rsidP="006D7335">
            <w:pPr>
              <w:rPr>
                <w:rFonts w:ascii="Times New Roman" w:hAnsi="Times New Roman"/>
                <w:color w:val="000000" w:themeColor="text1"/>
              </w:rPr>
            </w:pPr>
          </w:p>
          <w:p w14:paraId="24A44E8B" w14:textId="77777777" w:rsidR="00E72C0C" w:rsidRDefault="00E72C0C" w:rsidP="006D7335">
            <w:pPr>
              <w:rPr>
                <w:rFonts w:ascii="Times New Roman" w:hAnsi="Times New Roman"/>
                <w:color w:val="000000" w:themeColor="text1"/>
              </w:rPr>
            </w:pPr>
          </w:p>
          <w:p w14:paraId="69FF5DD7" w14:textId="3BE62A05" w:rsidR="00A52F5A" w:rsidRPr="003F6220" w:rsidRDefault="00E72C0C" w:rsidP="006D7335">
            <w:pPr>
              <w:rPr>
                <w:rFonts w:ascii="Times New Roman" w:hAnsi="Times New Roman"/>
                <w:color w:val="000000" w:themeColor="text1"/>
              </w:rPr>
            </w:pPr>
            <w:r>
              <w:rPr>
                <w:rFonts w:ascii="Times New Roman" w:hAnsi="Times New Roman"/>
                <w:color w:val="000000" w:themeColor="text1"/>
              </w:rPr>
              <w:t xml:space="preserve">Limit </w:t>
            </w:r>
            <w:r w:rsidR="00A52F5A" w:rsidRPr="003F6220">
              <w:rPr>
                <w:rFonts w:ascii="Times New Roman" w:hAnsi="Times New Roman"/>
                <w:color w:val="000000" w:themeColor="text1"/>
              </w:rPr>
              <w:t xml:space="preserve">finansowania surowców farmaceutycznych od </w:t>
            </w:r>
            <w:r>
              <w:rPr>
                <w:rFonts w:ascii="Times New Roman" w:hAnsi="Times New Roman"/>
                <w:color w:val="000000" w:themeColor="text1"/>
              </w:rPr>
              <w:t xml:space="preserve"> dnia </w:t>
            </w:r>
            <w:r w:rsidR="00A52F5A" w:rsidRPr="003F6220">
              <w:rPr>
                <w:rFonts w:ascii="Times New Roman" w:hAnsi="Times New Roman"/>
                <w:color w:val="000000" w:themeColor="text1"/>
              </w:rPr>
              <w:t xml:space="preserve">1 lipca 2025 r. </w:t>
            </w:r>
            <w:r w:rsidRPr="003F6220">
              <w:rPr>
                <w:rFonts w:ascii="Times New Roman" w:hAnsi="Times New Roman"/>
                <w:color w:val="000000" w:themeColor="text1"/>
              </w:rPr>
              <w:t xml:space="preserve">będzie </w:t>
            </w:r>
            <w:r w:rsidR="00A52F5A" w:rsidRPr="003F6220">
              <w:rPr>
                <w:rFonts w:ascii="Times New Roman" w:hAnsi="Times New Roman"/>
                <w:color w:val="000000" w:themeColor="text1"/>
              </w:rPr>
              <w:t>wyznaczany na podstawie danych sprawozdanych za 2024 r.</w:t>
            </w:r>
          </w:p>
          <w:tbl>
            <w:tblPr>
              <w:tblStyle w:val="Tabela-Siatka"/>
              <w:tblpPr w:leftFromText="141" w:rightFromText="141" w:vertAnchor="text" w:horzAnchor="margin" w:tblpY="252"/>
              <w:tblOverlap w:val="never"/>
              <w:tblW w:w="8216" w:type="dxa"/>
              <w:tblLook w:val="04A0" w:firstRow="1" w:lastRow="0" w:firstColumn="1" w:lastColumn="0" w:noHBand="0" w:noVBand="1"/>
            </w:tblPr>
            <w:tblGrid>
              <w:gridCol w:w="2174"/>
              <w:gridCol w:w="3021"/>
              <w:gridCol w:w="3021"/>
            </w:tblGrid>
            <w:tr w:rsidR="006D7335" w:rsidRPr="003F6220" w14:paraId="45D1F92C" w14:textId="77777777" w:rsidTr="002A4F66">
              <w:tc>
                <w:tcPr>
                  <w:tcW w:w="2174" w:type="dxa"/>
                  <w:vAlign w:val="center"/>
                </w:tcPr>
                <w:p w14:paraId="4E50C798"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hAnsi="Times New Roman"/>
                      <w:color w:val="000000" w:themeColor="text1"/>
                    </w:rPr>
                    <w:t>Kwota refundacji</w:t>
                  </w:r>
                </w:p>
                <w:p w14:paraId="0C05DE33" w14:textId="3E630F41"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hAnsi="Times New Roman"/>
                      <w:color w:val="000000" w:themeColor="text1"/>
                    </w:rPr>
                    <w:t xml:space="preserve">15 </w:t>
                  </w:r>
                  <w:r w:rsidR="00E72C0C" w:rsidRPr="003F6220">
                    <w:rPr>
                      <w:rFonts w:ascii="Times New Roman" w:hAnsi="Times New Roman"/>
                      <w:color w:val="000000" w:themeColor="text1"/>
                    </w:rPr>
                    <w:t>pecety</w:t>
                  </w:r>
                </w:p>
              </w:tc>
              <w:tc>
                <w:tcPr>
                  <w:tcW w:w="3021" w:type="dxa"/>
                  <w:vAlign w:val="center"/>
                </w:tcPr>
                <w:p w14:paraId="582A050C"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hAnsi="Times New Roman"/>
                      <w:color w:val="000000" w:themeColor="text1"/>
                    </w:rPr>
                    <w:t>Kwota refundacji</w:t>
                  </w:r>
                </w:p>
                <w:p w14:paraId="5F1071E0"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hAnsi="Times New Roman"/>
                      <w:color w:val="000000" w:themeColor="text1"/>
                    </w:rPr>
                    <w:t xml:space="preserve">25 </w:t>
                  </w:r>
                  <w:proofErr w:type="spellStart"/>
                  <w:r w:rsidRPr="003F6220">
                    <w:rPr>
                      <w:rFonts w:ascii="Times New Roman" w:hAnsi="Times New Roman"/>
                      <w:color w:val="000000" w:themeColor="text1"/>
                    </w:rPr>
                    <w:t>percentyl</w:t>
                  </w:r>
                  <w:proofErr w:type="spellEnd"/>
                </w:p>
              </w:tc>
              <w:tc>
                <w:tcPr>
                  <w:tcW w:w="3021" w:type="dxa"/>
                  <w:vAlign w:val="center"/>
                </w:tcPr>
                <w:p w14:paraId="14ED9A62"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hAnsi="Times New Roman"/>
                      <w:color w:val="000000" w:themeColor="text1"/>
                    </w:rPr>
                    <w:t>O ile wzrasta refundacja</w:t>
                  </w:r>
                </w:p>
              </w:tc>
            </w:tr>
            <w:tr w:rsidR="006D7335" w:rsidRPr="003F6220" w14:paraId="7615C723" w14:textId="77777777" w:rsidTr="002A4F66">
              <w:tc>
                <w:tcPr>
                  <w:tcW w:w="2174" w:type="dxa"/>
                  <w:vAlign w:val="center"/>
                </w:tcPr>
                <w:p w14:paraId="477E2933"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eastAsia="Times New Roman" w:hAnsi="Times New Roman"/>
                      <w:color w:val="000000" w:themeColor="text1"/>
                      <w:kern w:val="0"/>
                      <w:lang w:eastAsia="pl-PL"/>
                      <w14:ligatures w14:val="none"/>
                    </w:rPr>
                    <w:t>70 126 459,74 zł</w:t>
                  </w:r>
                </w:p>
              </w:tc>
              <w:tc>
                <w:tcPr>
                  <w:tcW w:w="3021" w:type="dxa"/>
                  <w:vAlign w:val="center"/>
                </w:tcPr>
                <w:p w14:paraId="4DFF6936"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eastAsia="Times New Roman" w:hAnsi="Times New Roman"/>
                      <w:color w:val="000000" w:themeColor="text1"/>
                      <w:kern w:val="0"/>
                      <w:lang w:eastAsia="pl-PL"/>
                      <w14:ligatures w14:val="none"/>
                    </w:rPr>
                    <w:t>70 277 239,28 zł</w:t>
                  </w:r>
                </w:p>
              </w:tc>
              <w:tc>
                <w:tcPr>
                  <w:tcW w:w="3021" w:type="dxa"/>
                  <w:vAlign w:val="center"/>
                </w:tcPr>
                <w:p w14:paraId="5A7414BB" w14:textId="77777777" w:rsidR="00A52F5A" w:rsidRPr="003F6220" w:rsidRDefault="00A52F5A" w:rsidP="00A52F5A">
                  <w:pPr>
                    <w:pStyle w:val="Akapitzlist"/>
                    <w:ind w:left="0"/>
                    <w:jc w:val="center"/>
                    <w:rPr>
                      <w:rFonts w:ascii="Times New Roman" w:hAnsi="Times New Roman"/>
                      <w:color w:val="000000" w:themeColor="text1"/>
                    </w:rPr>
                  </w:pPr>
                  <w:r w:rsidRPr="003F6220">
                    <w:rPr>
                      <w:rFonts w:ascii="Times New Roman" w:eastAsia="Times New Roman" w:hAnsi="Times New Roman"/>
                      <w:color w:val="000000" w:themeColor="text1"/>
                      <w:kern w:val="0"/>
                      <w:lang w:eastAsia="pl-PL"/>
                      <w14:ligatures w14:val="none"/>
                    </w:rPr>
                    <w:t>150 779,54 zł</w:t>
                  </w:r>
                </w:p>
              </w:tc>
            </w:tr>
          </w:tbl>
          <w:p w14:paraId="6FF1D10C" w14:textId="77777777" w:rsidR="002B13FF" w:rsidRPr="003F6220" w:rsidRDefault="002B13FF" w:rsidP="002B13FF">
            <w:pPr>
              <w:rPr>
                <w:rFonts w:ascii="Times New Roman" w:hAnsi="Times New Roman"/>
                <w:color w:val="000000" w:themeColor="text1"/>
              </w:rPr>
            </w:pPr>
          </w:p>
          <w:p w14:paraId="04BFF240" w14:textId="02512E18" w:rsidR="00A52F5A" w:rsidRPr="003F6220" w:rsidRDefault="00A52F5A" w:rsidP="006D7335">
            <w:pPr>
              <w:rPr>
                <w:rFonts w:ascii="Times New Roman" w:hAnsi="Times New Roman"/>
                <w:color w:val="000000" w:themeColor="text1"/>
              </w:rPr>
            </w:pPr>
            <w:r w:rsidRPr="003F6220">
              <w:rPr>
                <w:rFonts w:ascii="Times New Roman" w:hAnsi="Times New Roman"/>
                <w:color w:val="000000" w:themeColor="text1"/>
              </w:rPr>
              <w:t>Wyliczenia w poniższej tabeli opierają się na danych o cenach surowców farmaceutycznych za okres styczeń</w:t>
            </w:r>
            <w:r w:rsidR="005A13C4" w:rsidRPr="003F6220">
              <w:rPr>
                <w:rFonts w:ascii="Times New Roman" w:hAnsi="Times New Roman"/>
                <w:color w:val="000000" w:themeColor="text1"/>
              </w:rPr>
              <w:t>–</w:t>
            </w:r>
            <w:r w:rsidRPr="003F6220">
              <w:rPr>
                <w:rFonts w:ascii="Times New Roman" w:hAnsi="Times New Roman"/>
                <w:color w:val="000000" w:themeColor="text1"/>
              </w:rPr>
              <w:t>sierpień 2024 r.</w:t>
            </w:r>
          </w:p>
          <w:p w14:paraId="489E8A1C" w14:textId="77777777" w:rsidR="00A52F5A" w:rsidRPr="00B82A4A" w:rsidRDefault="00A52F5A" w:rsidP="00A52F5A">
            <w:pPr>
              <w:pStyle w:val="Akapitzlist"/>
              <w:rPr>
                <w:rFonts w:ascii="Times New Roman" w:hAnsi="Times New Roman"/>
                <w:color w:val="000000" w:themeColor="text1"/>
              </w:rPr>
            </w:pPr>
          </w:p>
          <w:p w14:paraId="14D4798C" w14:textId="77777777" w:rsidR="00A52F5A" w:rsidRPr="00B82A4A" w:rsidRDefault="00A52F5A" w:rsidP="00A52F5A">
            <w:pPr>
              <w:pStyle w:val="Akapitzlist"/>
              <w:numPr>
                <w:ilvl w:val="1"/>
                <w:numId w:val="52"/>
              </w:numPr>
              <w:rPr>
                <w:rFonts w:ascii="Times New Roman" w:hAnsi="Times New Roman"/>
                <w:b/>
                <w:bCs/>
                <w:color w:val="000000" w:themeColor="text1"/>
              </w:rPr>
            </w:pPr>
            <w:r w:rsidRPr="00B82A4A">
              <w:rPr>
                <w:rFonts w:ascii="Times New Roman" w:hAnsi="Times New Roman"/>
                <w:b/>
                <w:bCs/>
                <w:color w:val="000000" w:themeColor="text1"/>
              </w:rPr>
              <w:t xml:space="preserve">Zmiana definicji marży aptecznej dla refundowanego leku recepturowego na poziomie 25% od całkowitego kosztu sporządzenia leku recepturowego, ale nie wyższej niż </w:t>
            </w:r>
            <w:proofErr w:type="spellStart"/>
            <w:r w:rsidRPr="00B82A4A">
              <w:rPr>
                <w:rFonts w:ascii="Times New Roman" w:hAnsi="Times New Roman"/>
                <w:b/>
                <w:bCs/>
                <w:color w:val="000000" w:themeColor="text1"/>
              </w:rPr>
              <w:t>taxa</w:t>
            </w:r>
            <w:proofErr w:type="spellEnd"/>
            <w:r w:rsidRPr="00B82A4A">
              <w:rPr>
                <w:rFonts w:ascii="Times New Roman" w:hAnsi="Times New Roman"/>
                <w:b/>
                <w:bCs/>
                <w:color w:val="000000" w:themeColor="text1"/>
              </w:rPr>
              <w:t xml:space="preserve"> </w:t>
            </w:r>
            <w:proofErr w:type="spellStart"/>
            <w:r w:rsidRPr="00B82A4A">
              <w:rPr>
                <w:rFonts w:ascii="Times New Roman" w:hAnsi="Times New Roman"/>
                <w:b/>
                <w:bCs/>
                <w:color w:val="000000" w:themeColor="text1"/>
              </w:rPr>
              <w:t>laborum</w:t>
            </w:r>
            <w:proofErr w:type="spellEnd"/>
            <w:r w:rsidRPr="00B82A4A">
              <w:rPr>
                <w:rFonts w:ascii="Times New Roman" w:hAnsi="Times New Roman"/>
                <w:b/>
                <w:bCs/>
                <w:color w:val="000000" w:themeColor="text1"/>
              </w:rPr>
              <w:t xml:space="preserve"> leku wykonywanego w warunkach niejałowych</w:t>
            </w:r>
          </w:p>
          <w:p w14:paraId="5F863969" w14:textId="77777777" w:rsidR="00A52F5A" w:rsidRPr="00B82A4A" w:rsidRDefault="00A52F5A" w:rsidP="00A52F5A">
            <w:pPr>
              <w:rPr>
                <w:rFonts w:ascii="Times New Roman" w:hAnsi="Times New Roman"/>
                <w:color w:val="000000" w:themeColor="text1"/>
              </w:rPr>
            </w:pPr>
          </w:p>
          <w:p w14:paraId="02F41665" w14:textId="659D5301"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W okresie listopad 2023 r. – sierpień 2024 r. przygotowano 1 759 391 ryczałtów leków recepturowych (nieaseptycznych i aseptycznych).</w:t>
            </w:r>
          </w:p>
          <w:p w14:paraId="690BD92F" w14:textId="77777777"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Zakładając, że dla każdego z wykonanego ryczałtu marża apteczna miała wartość maksymalną określoną w przepisach (tj. 24,66 zł w okresie listopad 2023 r. – luty 2024 r. i 63,63 zł w okresie marzec 2024 r. – sierpień 2024 r.), kwota refundacji marży aptecznej wyniosła 82 968 411,06 zł (83 mln zł).</w:t>
            </w:r>
          </w:p>
          <w:p w14:paraId="2C1EB676" w14:textId="0697DEA2"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 xml:space="preserve">Gdyby dla analogicznej liczby ryczałtów leków recepturowych marża apteczna była nie wyższa niż </w:t>
            </w:r>
            <w:proofErr w:type="spellStart"/>
            <w:r w:rsidRPr="00B82A4A">
              <w:rPr>
                <w:rFonts w:ascii="Times New Roman" w:hAnsi="Times New Roman"/>
                <w:color w:val="000000" w:themeColor="text1"/>
              </w:rPr>
              <w:t>taxa</w:t>
            </w:r>
            <w:proofErr w:type="spellEnd"/>
            <w:r w:rsidRPr="00B82A4A">
              <w:rPr>
                <w:rFonts w:ascii="Times New Roman" w:hAnsi="Times New Roman"/>
                <w:color w:val="000000" w:themeColor="text1"/>
              </w:rPr>
              <w:t xml:space="preserve"> </w:t>
            </w:r>
            <w:proofErr w:type="spellStart"/>
            <w:r w:rsidRPr="00B82A4A">
              <w:rPr>
                <w:rFonts w:ascii="Times New Roman" w:hAnsi="Times New Roman"/>
                <w:color w:val="000000" w:themeColor="text1"/>
              </w:rPr>
              <w:t>laborum</w:t>
            </w:r>
            <w:proofErr w:type="spellEnd"/>
            <w:r w:rsidRPr="00B82A4A">
              <w:rPr>
                <w:rFonts w:ascii="Times New Roman" w:hAnsi="Times New Roman"/>
                <w:color w:val="000000" w:themeColor="text1"/>
              </w:rPr>
              <w:t xml:space="preserve"> leku wykonywanego w warunkach niejałowych, tj. 31,81 zł, kwota refundacji marży aptecznej (zakładając, że każdorazowo osiągałaby maksymalną wartość) wyniosłaby 55 966 227,71 zł (56 mln zł) dając 27 002 183,35 zł (27 mln zł) oszczędności.</w:t>
            </w:r>
          </w:p>
          <w:p w14:paraId="50768843" w14:textId="77777777" w:rsidR="00A52F5A" w:rsidRPr="00B82A4A" w:rsidRDefault="00A52F5A" w:rsidP="00A52F5A">
            <w:pPr>
              <w:pStyle w:val="Akapitzlist"/>
              <w:numPr>
                <w:ilvl w:val="1"/>
                <w:numId w:val="52"/>
              </w:numPr>
              <w:rPr>
                <w:rFonts w:ascii="Times New Roman" w:hAnsi="Times New Roman"/>
                <w:b/>
                <w:bCs/>
                <w:color w:val="000000" w:themeColor="text1"/>
              </w:rPr>
            </w:pPr>
            <w:r w:rsidRPr="00B82A4A">
              <w:rPr>
                <w:rFonts w:ascii="Times New Roman" w:hAnsi="Times New Roman"/>
                <w:b/>
                <w:bCs/>
                <w:color w:val="000000" w:themeColor="text1"/>
              </w:rPr>
              <w:t xml:space="preserve"> Limity finansowania utensyliów i leków gotowych, które mogą być traktowane jako surowiec farmaceutyczny przy sporządzeniu leków recepturowych.</w:t>
            </w:r>
          </w:p>
          <w:p w14:paraId="196DFA65" w14:textId="125DBB38"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 xml:space="preserve">Brak możliwości estymowania całkowitych oszczędności. </w:t>
            </w:r>
          </w:p>
          <w:p w14:paraId="6710A527" w14:textId="44CA2285"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Wprowadzenie limitu finansowania na utensylia i leki gotowe, które mogą być traktowane jako surowiec farmaceutyczny przy sporządzeniu leków recepturowych zabezpieczy wydatki płatnika publicznego. Dla przykładu:</w:t>
            </w:r>
          </w:p>
          <w:p w14:paraId="049CB332" w14:textId="202399F4"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 xml:space="preserve">Wartość jednego grama produktu leczniczego </w:t>
            </w:r>
            <w:proofErr w:type="spellStart"/>
            <w:r w:rsidRPr="00B82A4A">
              <w:rPr>
                <w:rFonts w:ascii="Times New Roman" w:hAnsi="Times New Roman"/>
                <w:color w:val="000000" w:themeColor="text1"/>
              </w:rPr>
              <w:t>Linomag</w:t>
            </w:r>
            <w:proofErr w:type="spellEnd"/>
            <w:r w:rsidRPr="00B82A4A">
              <w:rPr>
                <w:rFonts w:ascii="Times New Roman" w:hAnsi="Times New Roman"/>
                <w:color w:val="000000" w:themeColor="text1"/>
              </w:rPr>
              <w:t xml:space="preserve">, </w:t>
            </w:r>
            <w:proofErr w:type="spellStart"/>
            <w:r w:rsidRPr="00B82A4A">
              <w:rPr>
                <w:rFonts w:ascii="Times New Roman" w:hAnsi="Times New Roman"/>
                <w:color w:val="000000" w:themeColor="text1"/>
              </w:rPr>
              <w:t>Lini</w:t>
            </w:r>
            <w:proofErr w:type="spellEnd"/>
            <w:r w:rsidRPr="00B82A4A">
              <w:rPr>
                <w:rFonts w:ascii="Times New Roman" w:hAnsi="Times New Roman"/>
                <w:color w:val="000000" w:themeColor="text1"/>
              </w:rPr>
              <w:t xml:space="preserve"> oleum </w:t>
            </w:r>
            <w:proofErr w:type="spellStart"/>
            <w:r w:rsidRPr="00B82A4A">
              <w:rPr>
                <w:rFonts w:ascii="Times New Roman" w:hAnsi="Times New Roman"/>
                <w:color w:val="000000" w:themeColor="text1"/>
              </w:rPr>
              <w:t>virginale</w:t>
            </w:r>
            <w:proofErr w:type="spellEnd"/>
            <w:r w:rsidRPr="00B82A4A">
              <w:rPr>
                <w:rFonts w:ascii="Times New Roman" w:hAnsi="Times New Roman"/>
                <w:color w:val="000000" w:themeColor="text1"/>
              </w:rPr>
              <w:t>, 1g/g, płyn na skórę, 90 g, kod GTIN 05909991455804, według danych</w:t>
            </w:r>
            <w:r w:rsidR="00D00CD8">
              <w:rPr>
                <w:rFonts w:ascii="Times New Roman" w:hAnsi="Times New Roman"/>
                <w:color w:val="000000" w:themeColor="text1"/>
              </w:rPr>
              <w:t xml:space="preserve"> NFZ</w:t>
            </w:r>
            <w:r w:rsidRPr="00B82A4A">
              <w:rPr>
                <w:rFonts w:ascii="Times New Roman" w:hAnsi="Times New Roman"/>
                <w:color w:val="000000" w:themeColor="text1"/>
              </w:rPr>
              <w:t>, w części sprawozdanych recept wyniosła 302,40 zł.</w:t>
            </w:r>
          </w:p>
          <w:p w14:paraId="0A933978" w14:textId="77777777"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Należy zauważyć, że aktualnie (tj. marzec 2025 r.) cena tego produktu, który dostępny jest bez recepty, kosztuje ok. 20 zł (dane z aptek internetowych) za opakowanie 90g, czyli 0,22 zł za 1 gram.</w:t>
            </w:r>
          </w:p>
          <w:p w14:paraId="4D105BD4" w14:textId="77777777"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Lek ten jest stosowany jako surowiec w maści o składzie:</w:t>
            </w:r>
          </w:p>
          <w:p w14:paraId="079FA671" w14:textId="77777777" w:rsidR="00A52F5A" w:rsidRPr="00B82A4A" w:rsidRDefault="00A52F5A" w:rsidP="00A52F5A">
            <w:pPr>
              <w:rPr>
                <w:rFonts w:ascii="Times New Roman" w:hAnsi="Times New Roman"/>
                <w:color w:val="000000" w:themeColor="text1"/>
              </w:rPr>
            </w:pPr>
            <w:proofErr w:type="spellStart"/>
            <w:r w:rsidRPr="00B82A4A">
              <w:rPr>
                <w:rFonts w:ascii="Times New Roman" w:hAnsi="Times New Roman"/>
                <w:color w:val="000000" w:themeColor="text1"/>
              </w:rPr>
              <w:t>Rp</w:t>
            </w:r>
            <w:proofErr w:type="spellEnd"/>
            <w:r w:rsidRPr="00B82A4A">
              <w:rPr>
                <w:rFonts w:ascii="Times New Roman" w:hAnsi="Times New Roman"/>
                <w:color w:val="000000" w:themeColor="text1"/>
              </w:rPr>
              <w:t>.</w:t>
            </w:r>
          </w:p>
          <w:p w14:paraId="12C0E909" w14:textId="77777777" w:rsidR="00A52F5A" w:rsidRPr="00B82A4A" w:rsidRDefault="00A52F5A" w:rsidP="00A52F5A">
            <w:pPr>
              <w:rPr>
                <w:rFonts w:ascii="Times New Roman" w:hAnsi="Times New Roman"/>
                <w:color w:val="000000" w:themeColor="text1"/>
              </w:rPr>
            </w:pPr>
            <w:proofErr w:type="spellStart"/>
            <w:r w:rsidRPr="00B82A4A">
              <w:rPr>
                <w:rFonts w:ascii="Times New Roman" w:hAnsi="Times New Roman"/>
                <w:color w:val="000000" w:themeColor="text1"/>
              </w:rPr>
              <w:t>Linomag</w:t>
            </w:r>
            <w:proofErr w:type="spellEnd"/>
            <w:r w:rsidRPr="00B82A4A">
              <w:rPr>
                <w:rFonts w:ascii="Times New Roman" w:hAnsi="Times New Roman"/>
                <w:color w:val="000000" w:themeColor="text1"/>
              </w:rPr>
              <w:t xml:space="preserve"> </w:t>
            </w:r>
            <w:proofErr w:type="spellStart"/>
            <w:r w:rsidRPr="00B82A4A">
              <w:rPr>
                <w:rFonts w:ascii="Times New Roman" w:hAnsi="Times New Roman"/>
                <w:color w:val="000000" w:themeColor="text1"/>
              </w:rPr>
              <w:t>ol</w:t>
            </w:r>
            <w:proofErr w:type="spellEnd"/>
            <w:r w:rsidRPr="00B82A4A">
              <w:rPr>
                <w:rFonts w:ascii="Times New Roman" w:hAnsi="Times New Roman"/>
                <w:color w:val="000000" w:themeColor="text1"/>
              </w:rPr>
              <w:t>. 20,0</w:t>
            </w:r>
          </w:p>
          <w:p w14:paraId="0DB8C9A7" w14:textId="77777777" w:rsidR="00A52F5A" w:rsidRPr="00B82A4A" w:rsidRDefault="00A52F5A" w:rsidP="00A52F5A">
            <w:pPr>
              <w:rPr>
                <w:rFonts w:ascii="Times New Roman" w:hAnsi="Times New Roman"/>
                <w:color w:val="000000" w:themeColor="text1"/>
              </w:rPr>
            </w:pPr>
            <w:proofErr w:type="spellStart"/>
            <w:r w:rsidRPr="00B82A4A">
              <w:rPr>
                <w:rFonts w:ascii="Times New Roman" w:hAnsi="Times New Roman"/>
                <w:color w:val="000000" w:themeColor="text1"/>
              </w:rPr>
              <w:t>Lanolini</w:t>
            </w:r>
            <w:proofErr w:type="spellEnd"/>
            <w:r w:rsidRPr="00B82A4A">
              <w:rPr>
                <w:rFonts w:ascii="Times New Roman" w:hAnsi="Times New Roman"/>
                <w:color w:val="000000" w:themeColor="text1"/>
              </w:rPr>
              <w:t xml:space="preserve"> 40,0</w:t>
            </w:r>
          </w:p>
          <w:p w14:paraId="051CB4CF" w14:textId="77777777" w:rsidR="00A52F5A" w:rsidRPr="00B82A4A" w:rsidRDefault="00A52F5A" w:rsidP="00A52F5A">
            <w:pPr>
              <w:rPr>
                <w:rFonts w:ascii="Times New Roman" w:hAnsi="Times New Roman"/>
                <w:color w:val="000000" w:themeColor="text1"/>
              </w:rPr>
            </w:pPr>
            <w:proofErr w:type="spellStart"/>
            <w:r w:rsidRPr="00B82A4A">
              <w:rPr>
                <w:rFonts w:ascii="Times New Roman" w:hAnsi="Times New Roman"/>
                <w:color w:val="000000" w:themeColor="text1"/>
              </w:rPr>
              <w:t>Vaselini</w:t>
            </w:r>
            <w:proofErr w:type="spellEnd"/>
            <w:r w:rsidRPr="00B82A4A">
              <w:rPr>
                <w:rFonts w:ascii="Times New Roman" w:hAnsi="Times New Roman"/>
                <w:color w:val="000000" w:themeColor="text1"/>
              </w:rPr>
              <w:t xml:space="preserve"> </w:t>
            </w:r>
            <w:proofErr w:type="spellStart"/>
            <w:r w:rsidRPr="00B82A4A">
              <w:rPr>
                <w:rFonts w:ascii="Times New Roman" w:hAnsi="Times New Roman"/>
                <w:color w:val="000000" w:themeColor="text1"/>
              </w:rPr>
              <w:t>albi</w:t>
            </w:r>
            <w:proofErr w:type="spellEnd"/>
            <w:r w:rsidRPr="00B82A4A">
              <w:rPr>
                <w:rFonts w:ascii="Times New Roman" w:hAnsi="Times New Roman"/>
                <w:color w:val="000000" w:themeColor="text1"/>
              </w:rPr>
              <w:t xml:space="preserve"> 40,0</w:t>
            </w:r>
          </w:p>
          <w:p w14:paraId="395111F6" w14:textId="77777777" w:rsidR="00A52F5A" w:rsidRPr="00B82A4A" w:rsidRDefault="00A52F5A" w:rsidP="00A52F5A">
            <w:pPr>
              <w:rPr>
                <w:rFonts w:ascii="Times New Roman" w:hAnsi="Times New Roman"/>
                <w:color w:val="000000" w:themeColor="text1"/>
              </w:rPr>
            </w:pPr>
            <w:proofErr w:type="spellStart"/>
            <w:r w:rsidRPr="00B82A4A">
              <w:rPr>
                <w:rFonts w:ascii="Times New Roman" w:hAnsi="Times New Roman"/>
                <w:color w:val="000000" w:themeColor="text1"/>
              </w:rPr>
              <w:t>M.f.ung</w:t>
            </w:r>
            <w:proofErr w:type="spellEnd"/>
            <w:r w:rsidRPr="00B82A4A">
              <w:rPr>
                <w:rFonts w:ascii="Times New Roman" w:hAnsi="Times New Roman"/>
                <w:color w:val="000000" w:themeColor="text1"/>
              </w:rPr>
              <w:t>.</w:t>
            </w:r>
          </w:p>
          <w:p w14:paraId="762ADD03" w14:textId="77777777"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 xml:space="preserve">Gdyby powyższą maść sporządzić używając </w:t>
            </w:r>
            <w:proofErr w:type="spellStart"/>
            <w:r w:rsidRPr="00B82A4A">
              <w:rPr>
                <w:rFonts w:ascii="Times New Roman" w:hAnsi="Times New Roman"/>
                <w:color w:val="000000" w:themeColor="text1"/>
              </w:rPr>
              <w:t>Linomagu</w:t>
            </w:r>
            <w:proofErr w:type="spellEnd"/>
            <w:r w:rsidRPr="00B82A4A">
              <w:rPr>
                <w:rFonts w:ascii="Times New Roman" w:hAnsi="Times New Roman"/>
                <w:color w:val="000000" w:themeColor="text1"/>
              </w:rPr>
              <w:t xml:space="preserve"> w cenie 0,22 zł/g, to koszt tego jednego składnika wyniósłby 4,40 zł. Tymczasem, aktualnie w niektórych przypadkach płatnik płaci za sam ten składnik 6048,00 zł (302,40 zł/g).</w:t>
            </w:r>
          </w:p>
          <w:p w14:paraId="5D0B359F" w14:textId="656DA357" w:rsidR="00A52F5A" w:rsidRPr="00B82A4A" w:rsidRDefault="00A52F5A" w:rsidP="003F6220">
            <w:pPr>
              <w:jc w:val="both"/>
              <w:rPr>
                <w:rFonts w:ascii="Times New Roman" w:hAnsi="Times New Roman"/>
                <w:color w:val="000000" w:themeColor="text1"/>
              </w:rPr>
            </w:pPr>
            <w:r w:rsidRPr="00B82A4A">
              <w:rPr>
                <w:rFonts w:ascii="Times New Roman" w:hAnsi="Times New Roman"/>
                <w:color w:val="000000" w:themeColor="text1"/>
              </w:rPr>
              <w:t>Aby uniknąć sytuacji, w której praktyka zawyżania ceny leku gotowego traktowanego jako surowiec farmaceutyczny staje się powszechna i w nieuzasadniony sposób wzrastają wydatki płatnika publicznego, proponuje się wprowadzenie przedmiotowego rozwiązania.</w:t>
            </w:r>
          </w:p>
          <w:p w14:paraId="53088074" w14:textId="77777777" w:rsidR="00A52F5A" w:rsidRPr="00B82A4A" w:rsidRDefault="00A52F5A" w:rsidP="006D7335">
            <w:pPr>
              <w:pStyle w:val="Akapitzlist"/>
              <w:numPr>
                <w:ilvl w:val="1"/>
                <w:numId w:val="52"/>
              </w:numPr>
              <w:rPr>
                <w:rFonts w:ascii="Times New Roman" w:hAnsi="Times New Roman"/>
                <w:b/>
                <w:bCs/>
                <w:color w:val="000000" w:themeColor="text1"/>
              </w:rPr>
            </w:pPr>
            <w:r w:rsidRPr="00B82A4A">
              <w:rPr>
                <w:rFonts w:ascii="Times New Roman" w:hAnsi="Times New Roman"/>
                <w:b/>
                <w:bCs/>
                <w:color w:val="000000" w:themeColor="text1"/>
              </w:rPr>
              <w:t>Wprowadzenie urzędowej marży hurtowej dla surowców, utensyliów i leków gotowych, które mogą być traktowane jako surowiec farmaceutyczny przy sporządzeniu leku recepturowego.</w:t>
            </w:r>
          </w:p>
          <w:p w14:paraId="06632B52" w14:textId="155C376A" w:rsidR="0026059F" w:rsidRPr="00B82A4A" w:rsidRDefault="0026059F" w:rsidP="00A52F5A">
            <w:pPr>
              <w:pStyle w:val="xmsolistparagraph"/>
              <w:spacing w:line="252" w:lineRule="auto"/>
              <w:jc w:val="both"/>
              <w:rPr>
                <w:rFonts w:ascii="Times New Roman" w:eastAsia="Times New Roman" w:hAnsi="Times New Roman" w:cs="Times New Roman"/>
                <w:color w:val="000000" w:themeColor="text1"/>
                <w:sz w:val="22"/>
                <w:szCs w:val="22"/>
              </w:rPr>
            </w:pPr>
            <w:r w:rsidRPr="00B82A4A">
              <w:rPr>
                <w:rFonts w:ascii="Times New Roman" w:eastAsia="Times New Roman" w:hAnsi="Times New Roman" w:cs="Times New Roman"/>
                <w:color w:val="000000" w:themeColor="text1"/>
                <w:sz w:val="22"/>
                <w:szCs w:val="22"/>
              </w:rPr>
              <w:t>Brak możliwości estymowania całkowitych oszczędności.</w:t>
            </w:r>
          </w:p>
          <w:p w14:paraId="57195087" w14:textId="4D5694F4" w:rsidR="00A52F5A" w:rsidRPr="00B82A4A" w:rsidRDefault="00A52F5A" w:rsidP="00A52F5A">
            <w:pPr>
              <w:pStyle w:val="xmsolistparagraph"/>
              <w:spacing w:line="252" w:lineRule="auto"/>
              <w:jc w:val="both"/>
              <w:rPr>
                <w:rFonts w:ascii="Times New Roman" w:eastAsia="Times New Roman" w:hAnsi="Times New Roman" w:cs="Times New Roman"/>
                <w:color w:val="000000" w:themeColor="text1"/>
                <w:sz w:val="22"/>
                <w:szCs w:val="22"/>
              </w:rPr>
            </w:pPr>
            <w:r w:rsidRPr="00B82A4A">
              <w:rPr>
                <w:rFonts w:ascii="Times New Roman" w:eastAsia="Times New Roman" w:hAnsi="Times New Roman" w:cs="Times New Roman"/>
                <w:color w:val="000000" w:themeColor="text1"/>
                <w:sz w:val="22"/>
                <w:szCs w:val="22"/>
              </w:rPr>
              <w:t>Wprowadzenie urzędowej marży hurtowej dla powyższych składowych leków recepturowych zabezpieczy wydatki płatnika publicznego na ich refundację. Aktualnie obserwowany jest niekontrolowany wzrost cen opakowań i leków gotowych, które mogą być traktowane jako surowiec farmaceutyczny przy sporządzeniu leków recepturowych. Wzrost cen surowców farmaceutycznych został ograniczony przez wprowadzenie limitów ich finansowania. Dla przykładu:</w:t>
            </w:r>
          </w:p>
          <w:p w14:paraId="01333FEF" w14:textId="77777777" w:rsidR="00A52F5A" w:rsidRPr="00B82A4A" w:rsidRDefault="00A52F5A" w:rsidP="00A52F5A">
            <w:pPr>
              <w:pStyle w:val="xmsolistparagraph"/>
              <w:spacing w:line="252" w:lineRule="auto"/>
              <w:jc w:val="both"/>
              <w:rPr>
                <w:rFonts w:ascii="Times New Roman" w:eastAsia="Times New Roman" w:hAnsi="Times New Roman" w:cs="Times New Roman"/>
                <w:color w:val="000000" w:themeColor="text1"/>
                <w:sz w:val="22"/>
                <w:szCs w:val="22"/>
              </w:rPr>
            </w:pPr>
            <w:r w:rsidRPr="00B82A4A">
              <w:rPr>
                <w:rFonts w:ascii="Times New Roman" w:eastAsia="Times New Roman" w:hAnsi="Times New Roman" w:cs="Times New Roman"/>
                <w:color w:val="000000" w:themeColor="text1"/>
                <w:sz w:val="22"/>
                <w:szCs w:val="22"/>
              </w:rPr>
              <w:t xml:space="preserve">Butelka jałowa </w:t>
            </w:r>
            <w:proofErr w:type="spellStart"/>
            <w:r w:rsidRPr="00B82A4A">
              <w:rPr>
                <w:rFonts w:ascii="Times New Roman" w:eastAsia="Times New Roman" w:hAnsi="Times New Roman" w:cs="Times New Roman"/>
                <w:color w:val="000000" w:themeColor="text1"/>
                <w:sz w:val="22"/>
                <w:szCs w:val="22"/>
              </w:rPr>
              <w:t>Eprus</w:t>
            </w:r>
            <w:proofErr w:type="spellEnd"/>
            <w:r w:rsidRPr="00B82A4A">
              <w:rPr>
                <w:rFonts w:ascii="Times New Roman" w:eastAsia="Times New Roman" w:hAnsi="Times New Roman" w:cs="Times New Roman"/>
                <w:color w:val="000000" w:themeColor="text1"/>
                <w:sz w:val="22"/>
                <w:szCs w:val="22"/>
              </w:rPr>
              <w:t>® 5ml biała z nakrętką i zakraplaczem x 1 szt., kod EAN 2010000003909, zakupiona bezpośrednio od producenta kosztuje 5,24 zł brutto.</w:t>
            </w:r>
          </w:p>
          <w:p w14:paraId="26287517" w14:textId="77777777" w:rsidR="00A52F5A" w:rsidRPr="00B82A4A" w:rsidRDefault="00A52F5A" w:rsidP="00A52F5A">
            <w:pPr>
              <w:pStyle w:val="xmsolistparagraph"/>
              <w:spacing w:line="252" w:lineRule="auto"/>
              <w:jc w:val="both"/>
              <w:rPr>
                <w:rFonts w:ascii="Times New Roman" w:eastAsia="Times New Roman" w:hAnsi="Times New Roman" w:cs="Times New Roman"/>
                <w:color w:val="000000" w:themeColor="text1"/>
                <w:sz w:val="22"/>
                <w:szCs w:val="22"/>
              </w:rPr>
            </w:pPr>
            <w:r w:rsidRPr="00B82A4A">
              <w:rPr>
                <w:rFonts w:ascii="Times New Roman" w:eastAsia="Times New Roman" w:hAnsi="Times New Roman" w:cs="Times New Roman"/>
                <w:color w:val="000000" w:themeColor="text1"/>
                <w:sz w:val="22"/>
                <w:szCs w:val="22"/>
              </w:rPr>
              <w:t>Tymczasem podczas wycen leków recepturowych sporządzonych z użyciem tego opakowania, sprawozdawana jest średnia cena 143,28 zł (w okresie styczeń – wrzesień 2024 r.).  Jest to cena 27 razy wyższa niż cena oferowana podczas bezpośredniego zakupu od producenta.</w:t>
            </w:r>
          </w:p>
          <w:p w14:paraId="02221201" w14:textId="396AF7AA" w:rsidR="00A52F5A" w:rsidRPr="00B82A4A" w:rsidRDefault="00A52F5A" w:rsidP="00A52F5A">
            <w:pPr>
              <w:pStyle w:val="xmsolistparagraph"/>
              <w:spacing w:line="252" w:lineRule="auto"/>
              <w:jc w:val="both"/>
              <w:rPr>
                <w:rFonts w:ascii="Times New Roman" w:eastAsia="Times New Roman" w:hAnsi="Times New Roman" w:cs="Times New Roman"/>
                <w:color w:val="000000" w:themeColor="text1"/>
                <w:sz w:val="22"/>
                <w:szCs w:val="22"/>
              </w:rPr>
            </w:pPr>
            <w:r w:rsidRPr="00B82A4A">
              <w:rPr>
                <w:rFonts w:ascii="Times New Roman" w:eastAsia="Times New Roman" w:hAnsi="Times New Roman" w:cs="Times New Roman"/>
                <w:color w:val="000000" w:themeColor="text1"/>
                <w:sz w:val="22"/>
                <w:szCs w:val="22"/>
              </w:rPr>
              <w:t xml:space="preserve">Od początku 2024 </w:t>
            </w:r>
            <w:r w:rsidR="00695DCD">
              <w:rPr>
                <w:rFonts w:ascii="Times New Roman" w:eastAsia="Times New Roman" w:hAnsi="Times New Roman" w:cs="Times New Roman"/>
                <w:color w:val="000000" w:themeColor="text1"/>
                <w:sz w:val="22"/>
                <w:szCs w:val="22"/>
              </w:rPr>
              <w:t xml:space="preserve">r. </w:t>
            </w:r>
            <w:r w:rsidRPr="00B82A4A">
              <w:rPr>
                <w:rFonts w:ascii="Times New Roman" w:eastAsia="Times New Roman" w:hAnsi="Times New Roman" w:cs="Times New Roman"/>
                <w:color w:val="000000" w:themeColor="text1"/>
                <w:sz w:val="22"/>
                <w:szCs w:val="22"/>
              </w:rPr>
              <w:t>zrefundowano koszt 68 771 takich opakowań, tj. 9 853 785,89 zł. Gdyby ich cena ograniczona była przez urzędową marżę hurtową, na zasadach analogicznych jak dla leków gotowych, w przedmiotowym przypadku cena hurtowa wyniosłaby 5,74 zł, a całość refundacji analogicznej ilości butelek 394 745,54 zł, co daje 9 459 040,35 zł oszczędności dla wyłącznie jednego rodzaju opakowania.</w:t>
            </w:r>
          </w:p>
          <w:p w14:paraId="09224C56" w14:textId="56445B6C" w:rsidR="00A52F5A" w:rsidRPr="006D7335" w:rsidRDefault="00A52F5A" w:rsidP="006D7335">
            <w:pPr>
              <w:pStyle w:val="xmsolistparagraph"/>
              <w:spacing w:line="252" w:lineRule="auto"/>
              <w:jc w:val="both"/>
              <w:rPr>
                <w:rFonts w:ascii="Times New Roman" w:eastAsia="Times New Roman" w:hAnsi="Times New Roman" w:cs="Times New Roman"/>
                <w:color w:val="000000" w:themeColor="text1"/>
                <w:sz w:val="22"/>
                <w:szCs w:val="22"/>
              </w:rPr>
            </w:pPr>
            <w:r w:rsidRPr="00B82A4A">
              <w:rPr>
                <w:rFonts w:ascii="Times New Roman" w:eastAsia="Times New Roman" w:hAnsi="Times New Roman" w:cs="Times New Roman"/>
                <w:color w:val="000000" w:themeColor="text1"/>
                <w:sz w:val="22"/>
                <w:szCs w:val="22"/>
              </w:rPr>
              <w:t>Nie przewiduje się konieczności przekazania dodatkowych środków finansowych na ten cel.</w:t>
            </w:r>
          </w:p>
        </w:tc>
      </w:tr>
      <w:tr w:rsidR="00A52F5A" w:rsidRPr="0095120B" w14:paraId="4337B507" w14:textId="77777777" w:rsidTr="004663A3">
        <w:trPr>
          <w:trHeight w:val="345"/>
        </w:trPr>
        <w:tc>
          <w:tcPr>
            <w:tcW w:w="10803" w:type="dxa"/>
            <w:gridSpan w:val="27"/>
            <w:shd w:val="clear" w:color="auto" w:fill="99CCFF"/>
          </w:tcPr>
          <w:p w14:paraId="712C153D" w14:textId="1E62FB21" w:rsidR="00A52F5A" w:rsidRPr="0095120B" w:rsidRDefault="00A52F5A" w:rsidP="00A52F5A">
            <w:pPr>
              <w:numPr>
                <w:ilvl w:val="0"/>
                <w:numId w:val="1"/>
              </w:numPr>
              <w:spacing w:before="120" w:after="120" w:line="240" w:lineRule="auto"/>
              <w:jc w:val="both"/>
              <w:rPr>
                <w:rFonts w:ascii="Times New Roman" w:hAnsi="Times New Roman"/>
                <w:b/>
                <w:spacing w:val="-2"/>
              </w:rPr>
            </w:pPr>
            <w:r w:rsidRPr="0095120B">
              <w:rPr>
                <w:rFonts w:ascii="Times New Roman" w:hAnsi="Times New Roman"/>
                <w:b/>
                <w:spacing w:val="-2"/>
              </w:rPr>
              <w:t xml:space="preserve">Wpływ na </w:t>
            </w:r>
            <w:r w:rsidRPr="0095120B">
              <w:rPr>
                <w:rFonts w:ascii="Times New Roman" w:hAnsi="Times New Roman"/>
                <w:b/>
              </w:rPr>
              <w:t xml:space="preserve">konkurencyjność gospodarki i przedsiębiorczość, w tym funkcjonowanie przedsiębiorców, oraz na rodzinę, obywateli i gospodarstwa domowe </w:t>
            </w:r>
          </w:p>
        </w:tc>
      </w:tr>
      <w:tr w:rsidR="00A52F5A" w:rsidRPr="0095120B" w14:paraId="72C3DF99" w14:textId="77777777" w:rsidTr="004663A3">
        <w:trPr>
          <w:trHeight w:val="142"/>
        </w:trPr>
        <w:tc>
          <w:tcPr>
            <w:tcW w:w="10803" w:type="dxa"/>
            <w:gridSpan w:val="27"/>
            <w:shd w:val="clear" w:color="auto" w:fill="FFFFFF"/>
          </w:tcPr>
          <w:p w14:paraId="4B28AEB9" w14:textId="77777777" w:rsidR="00A52F5A" w:rsidRPr="0095120B" w:rsidRDefault="00A52F5A" w:rsidP="00A52F5A">
            <w:pPr>
              <w:spacing w:line="240" w:lineRule="auto"/>
              <w:jc w:val="center"/>
              <w:rPr>
                <w:rFonts w:ascii="Times New Roman" w:hAnsi="Times New Roman"/>
                <w:spacing w:val="-2"/>
              </w:rPr>
            </w:pPr>
            <w:r w:rsidRPr="0095120B">
              <w:rPr>
                <w:rFonts w:ascii="Times New Roman" w:hAnsi="Times New Roman"/>
                <w:spacing w:val="-2"/>
              </w:rPr>
              <w:t>Skutki</w:t>
            </w:r>
          </w:p>
        </w:tc>
      </w:tr>
      <w:tr w:rsidR="00A52F5A" w:rsidRPr="0095120B" w14:paraId="0419B790" w14:textId="77777777" w:rsidTr="006C5882">
        <w:trPr>
          <w:trHeight w:val="142"/>
        </w:trPr>
        <w:tc>
          <w:tcPr>
            <w:tcW w:w="3462" w:type="dxa"/>
            <w:gridSpan w:val="7"/>
            <w:shd w:val="clear" w:color="auto" w:fill="FFFFFF"/>
          </w:tcPr>
          <w:p w14:paraId="5F65DC1A" w14:textId="77777777" w:rsidR="00A52F5A" w:rsidRPr="0095120B" w:rsidRDefault="00A52F5A" w:rsidP="00A52F5A">
            <w:pPr>
              <w:spacing w:line="240" w:lineRule="auto"/>
              <w:rPr>
                <w:rFonts w:ascii="Times New Roman" w:hAnsi="Times New Roman"/>
              </w:rPr>
            </w:pPr>
            <w:r w:rsidRPr="0095120B">
              <w:rPr>
                <w:rFonts w:ascii="Times New Roman" w:hAnsi="Times New Roman"/>
              </w:rPr>
              <w:t>Czas w latach od wejścia w życie zmian</w:t>
            </w:r>
          </w:p>
        </w:tc>
        <w:tc>
          <w:tcPr>
            <w:tcW w:w="817" w:type="dxa"/>
            <w:gridSpan w:val="2"/>
            <w:shd w:val="clear" w:color="auto" w:fill="FFFFFF"/>
          </w:tcPr>
          <w:p w14:paraId="61B9C475" w14:textId="77777777"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918" w:type="dxa"/>
            <w:gridSpan w:val="5"/>
            <w:shd w:val="clear" w:color="auto" w:fill="FFFFFF"/>
          </w:tcPr>
          <w:p w14:paraId="2EB2B5BD" w14:textId="77777777" w:rsidR="00A52F5A" w:rsidRPr="0095120B" w:rsidRDefault="00A52F5A" w:rsidP="00A52F5A">
            <w:pPr>
              <w:spacing w:line="240" w:lineRule="auto"/>
              <w:jc w:val="center"/>
              <w:rPr>
                <w:rFonts w:ascii="Times New Roman" w:hAnsi="Times New Roman"/>
              </w:rPr>
            </w:pPr>
            <w:r w:rsidRPr="0095120B">
              <w:rPr>
                <w:rFonts w:ascii="Times New Roman" w:hAnsi="Times New Roman"/>
              </w:rPr>
              <w:t>1</w:t>
            </w:r>
          </w:p>
        </w:tc>
        <w:tc>
          <w:tcPr>
            <w:tcW w:w="928" w:type="dxa"/>
            <w:gridSpan w:val="3"/>
            <w:shd w:val="clear" w:color="auto" w:fill="FFFFFF"/>
          </w:tcPr>
          <w:p w14:paraId="18F2E975" w14:textId="77777777" w:rsidR="00A52F5A" w:rsidRPr="0095120B" w:rsidRDefault="00A52F5A" w:rsidP="00A52F5A">
            <w:pPr>
              <w:spacing w:line="240" w:lineRule="auto"/>
              <w:jc w:val="center"/>
              <w:rPr>
                <w:rFonts w:ascii="Times New Roman" w:hAnsi="Times New Roman"/>
              </w:rPr>
            </w:pPr>
            <w:r w:rsidRPr="0095120B">
              <w:rPr>
                <w:rFonts w:ascii="Times New Roman" w:hAnsi="Times New Roman"/>
              </w:rPr>
              <w:t>2</w:t>
            </w:r>
          </w:p>
        </w:tc>
        <w:tc>
          <w:tcPr>
            <w:tcW w:w="847" w:type="dxa"/>
            <w:gridSpan w:val="2"/>
            <w:shd w:val="clear" w:color="auto" w:fill="FFFFFF"/>
          </w:tcPr>
          <w:p w14:paraId="39F2E028" w14:textId="77777777" w:rsidR="00A52F5A" w:rsidRPr="0095120B" w:rsidRDefault="00A52F5A" w:rsidP="00A52F5A">
            <w:pPr>
              <w:spacing w:line="240" w:lineRule="auto"/>
              <w:jc w:val="center"/>
              <w:rPr>
                <w:rFonts w:ascii="Times New Roman" w:hAnsi="Times New Roman"/>
              </w:rPr>
            </w:pPr>
            <w:r w:rsidRPr="0095120B">
              <w:rPr>
                <w:rFonts w:ascii="Times New Roman" w:hAnsi="Times New Roman"/>
              </w:rPr>
              <w:t>3</w:t>
            </w:r>
          </w:p>
        </w:tc>
        <w:tc>
          <w:tcPr>
            <w:tcW w:w="791" w:type="dxa"/>
            <w:gridSpan w:val="3"/>
            <w:shd w:val="clear" w:color="auto" w:fill="FFFFFF"/>
          </w:tcPr>
          <w:p w14:paraId="358E3047" w14:textId="77777777" w:rsidR="00A52F5A" w:rsidRPr="0095120B" w:rsidRDefault="00A52F5A" w:rsidP="00A52F5A">
            <w:pPr>
              <w:spacing w:line="240" w:lineRule="auto"/>
              <w:jc w:val="center"/>
              <w:rPr>
                <w:rFonts w:ascii="Times New Roman" w:hAnsi="Times New Roman"/>
              </w:rPr>
            </w:pPr>
            <w:r w:rsidRPr="0095120B">
              <w:rPr>
                <w:rFonts w:ascii="Times New Roman" w:hAnsi="Times New Roman"/>
              </w:rPr>
              <w:t>5</w:t>
            </w:r>
          </w:p>
        </w:tc>
        <w:tc>
          <w:tcPr>
            <w:tcW w:w="850" w:type="dxa"/>
            <w:gridSpan w:val="2"/>
            <w:shd w:val="clear" w:color="auto" w:fill="FFFFFF"/>
          </w:tcPr>
          <w:p w14:paraId="2ADEF427" w14:textId="77777777" w:rsidR="00A52F5A" w:rsidRPr="0095120B" w:rsidRDefault="00A52F5A" w:rsidP="00A52F5A">
            <w:pPr>
              <w:spacing w:line="240" w:lineRule="auto"/>
              <w:jc w:val="center"/>
              <w:rPr>
                <w:rFonts w:ascii="Times New Roman" w:hAnsi="Times New Roman"/>
              </w:rPr>
            </w:pPr>
            <w:r w:rsidRPr="0095120B">
              <w:rPr>
                <w:rFonts w:ascii="Times New Roman" w:hAnsi="Times New Roman"/>
              </w:rPr>
              <w:t>10</w:t>
            </w:r>
          </w:p>
        </w:tc>
        <w:tc>
          <w:tcPr>
            <w:tcW w:w="2190" w:type="dxa"/>
            <w:gridSpan w:val="3"/>
            <w:shd w:val="clear" w:color="auto" w:fill="FFFFFF"/>
          </w:tcPr>
          <w:p w14:paraId="46494646" w14:textId="77777777" w:rsidR="00A52F5A" w:rsidRPr="0095120B" w:rsidRDefault="00A52F5A" w:rsidP="00A52F5A">
            <w:pPr>
              <w:spacing w:line="240" w:lineRule="auto"/>
              <w:jc w:val="center"/>
              <w:rPr>
                <w:rFonts w:ascii="Times New Roman" w:hAnsi="Times New Roman"/>
                <w:i/>
                <w:spacing w:val="-2"/>
              </w:rPr>
            </w:pPr>
            <w:r w:rsidRPr="0095120B">
              <w:rPr>
                <w:rFonts w:ascii="Times New Roman" w:hAnsi="Times New Roman"/>
                <w:i/>
                <w:spacing w:val="-2"/>
              </w:rPr>
              <w:t>Łącznie</w:t>
            </w:r>
            <w:r w:rsidRPr="0095120B" w:rsidDel="0073273A">
              <w:rPr>
                <w:rFonts w:ascii="Times New Roman" w:hAnsi="Times New Roman"/>
                <w:i/>
                <w:spacing w:val="-2"/>
              </w:rPr>
              <w:t xml:space="preserve"> </w:t>
            </w:r>
            <w:r w:rsidRPr="0095120B">
              <w:rPr>
                <w:rFonts w:ascii="Times New Roman" w:hAnsi="Times New Roman"/>
                <w:i/>
                <w:spacing w:val="-2"/>
              </w:rPr>
              <w:t>(0-10)</w:t>
            </w:r>
          </w:p>
        </w:tc>
      </w:tr>
      <w:tr w:rsidR="006D7335" w:rsidRPr="0095120B" w14:paraId="0A840F97" w14:textId="77777777" w:rsidTr="006C5882">
        <w:trPr>
          <w:trHeight w:val="142"/>
        </w:trPr>
        <w:tc>
          <w:tcPr>
            <w:tcW w:w="1447" w:type="dxa"/>
            <w:vMerge w:val="restart"/>
            <w:shd w:val="clear" w:color="auto" w:fill="FFFFFF"/>
          </w:tcPr>
          <w:p w14:paraId="69A3B167" w14:textId="77777777" w:rsidR="00A52F5A" w:rsidRPr="0095120B" w:rsidRDefault="00A52F5A" w:rsidP="00A52F5A">
            <w:pPr>
              <w:rPr>
                <w:rFonts w:ascii="Times New Roman" w:hAnsi="Times New Roman"/>
              </w:rPr>
            </w:pPr>
            <w:r w:rsidRPr="0095120B">
              <w:rPr>
                <w:rFonts w:ascii="Times New Roman" w:hAnsi="Times New Roman"/>
              </w:rPr>
              <w:t>W ujęciu pieniężnym</w:t>
            </w:r>
          </w:p>
          <w:p w14:paraId="47D9AF0F" w14:textId="77777777" w:rsidR="00A52F5A" w:rsidRPr="0095120B" w:rsidRDefault="00A52F5A" w:rsidP="00A52F5A">
            <w:pPr>
              <w:rPr>
                <w:rFonts w:ascii="Times New Roman" w:hAnsi="Times New Roman"/>
                <w:spacing w:val="-2"/>
              </w:rPr>
            </w:pPr>
            <w:r w:rsidRPr="0095120B">
              <w:rPr>
                <w:rFonts w:ascii="Times New Roman" w:hAnsi="Times New Roman"/>
                <w:spacing w:val="-2"/>
              </w:rPr>
              <w:t xml:space="preserve">(w mln zł, </w:t>
            </w:r>
          </w:p>
          <w:p w14:paraId="051DA8D8" w14:textId="424DD70D" w:rsidR="00A52F5A" w:rsidRPr="0095120B" w:rsidRDefault="00A52F5A" w:rsidP="00A52F5A">
            <w:pPr>
              <w:spacing w:line="240" w:lineRule="auto"/>
              <w:rPr>
                <w:rFonts w:ascii="Times New Roman" w:hAnsi="Times New Roman"/>
              </w:rPr>
            </w:pPr>
            <w:r w:rsidRPr="0095120B">
              <w:rPr>
                <w:rFonts w:ascii="Times New Roman" w:hAnsi="Times New Roman"/>
                <w:spacing w:val="-2"/>
              </w:rPr>
              <w:t xml:space="preserve">ceny stałe z </w:t>
            </w:r>
            <w:r w:rsidR="00E87390">
              <w:rPr>
                <w:rFonts w:ascii="Times New Roman" w:hAnsi="Times New Roman"/>
                <w:spacing w:val="-2"/>
              </w:rPr>
              <w:t>2025</w:t>
            </w:r>
            <w:r w:rsidRPr="0095120B">
              <w:rPr>
                <w:rFonts w:ascii="Times New Roman" w:hAnsi="Times New Roman"/>
                <w:spacing w:val="-2"/>
              </w:rPr>
              <w:t xml:space="preserve"> r.)</w:t>
            </w:r>
          </w:p>
        </w:tc>
        <w:tc>
          <w:tcPr>
            <w:tcW w:w="2015" w:type="dxa"/>
            <w:gridSpan w:val="6"/>
            <w:shd w:val="clear" w:color="auto" w:fill="FFFFFF"/>
          </w:tcPr>
          <w:p w14:paraId="5DE32A81" w14:textId="77777777" w:rsidR="00A52F5A" w:rsidRPr="0095120B" w:rsidRDefault="00A52F5A" w:rsidP="00A52F5A">
            <w:pPr>
              <w:spacing w:line="240" w:lineRule="auto"/>
              <w:rPr>
                <w:rFonts w:ascii="Times New Roman" w:hAnsi="Times New Roman"/>
              </w:rPr>
            </w:pPr>
            <w:r w:rsidRPr="0095120B">
              <w:rPr>
                <w:rFonts w:ascii="Times New Roman" w:hAnsi="Times New Roman"/>
              </w:rPr>
              <w:t>duże przedsiębiorstwa</w:t>
            </w:r>
          </w:p>
        </w:tc>
        <w:tc>
          <w:tcPr>
            <w:tcW w:w="817" w:type="dxa"/>
            <w:gridSpan w:val="2"/>
            <w:shd w:val="clear" w:color="auto" w:fill="FFFFFF"/>
          </w:tcPr>
          <w:p w14:paraId="6EE26E01" w14:textId="0541987C"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918" w:type="dxa"/>
            <w:gridSpan w:val="5"/>
            <w:shd w:val="clear" w:color="auto" w:fill="FFFFFF"/>
          </w:tcPr>
          <w:p w14:paraId="7FA2FFB7" w14:textId="4269BA10"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928" w:type="dxa"/>
            <w:gridSpan w:val="3"/>
            <w:shd w:val="clear" w:color="auto" w:fill="FFFFFF"/>
          </w:tcPr>
          <w:p w14:paraId="2B390A4A" w14:textId="1109DCD6"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847" w:type="dxa"/>
            <w:gridSpan w:val="2"/>
            <w:shd w:val="clear" w:color="auto" w:fill="FFFFFF"/>
          </w:tcPr>
          <w:p w14:paraId="464C87A2" w14:textId="6D13C21F"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91" w:type="dxa"/>
            <w:gridSpan w:val="3"/>
            <w:shd w:val="clear" w:color="auto" w:fill="FFFFFF"/>
          </w:tcPr>
          <w:p w14:paraId="00FC2806" w14:textId="5A5961DD"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850" w:type="dxa"/>
            <w:gridSpan w:val="2"/>
            <w:shd w:val="clear" w:color="auto" w:fill="FFFFFF"/>
          </w:tcPr>
          <w:p w14:paraId="64981D4F" w14:textId="56046815"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2190" w:type="dxa"/>
            <w:gridSpan w:val="3"/>
            <w:shd w:val="clear" w:color="auto" w:fill="FFFFFF"/>
          </w:tcPr>
          <w:p w14:paraId="3AA94335" w14:textId="707DF869" w:rsidR="00A52F5A" w:rsidRPr="0095120B" w:rsidRDefault="00A52F5A" w:rsidP="00A52F5A">
            <w:pPr>
              <w:spacing w:line="240" w:lineRule="auto"/>
              <w:jc w:val="center"/>
              <w:rPr>
                <w:rFonts w:ascii="Times New Roman" w:hAnsi="Times New Roman"/>
                <w:spacing w:val="-2"/>
              </w:rPr>
            </w:pPr>
            <w:r w:rsidRPr="0095120B">
              <w:rPr>
                <w:rFonts w:ascii="Times New Roman" w:hAnsi="Times New Roman"/>
                <w:spacing w:val="-2"/>
              </w:rPr>
              <w:t>0</w:t>
            </w:r>
          </w:p>
        </w:tc>
      </w:tr>
      <w:tr w:rsidR="006D7335" w:rsidRPr="0095120B" w14:paraId="2CE72E2A" w14:textId="77777777" w:rsidTr="006C5882">
        <w:trPr>
          <w:trHeight w:val="142"/>
        </w:trPr>
        <w:tc>
          <w:tcPr>
            <w:tcW w:w="1447" w:type="dxa"/>
            <w:vMerge/>
            <w:shd w:val="clear" w:color="auto" w:fill="FFFFFF"/>
          </w:tcPr>
          <w:p w14:paraId="0756C456" w14:textId="77777777" w:rsidR="00A52F5A" w:rsidRPr="0095120B" w:rsidRDefault="00A52F5A" w:rsidP="00A52F5A">
            <w:pPr>
              <w:spacing w:line="240" w:lineRule="auto"/>
              <w:rPr>
                <w:rFonts w:ascii="Times New Roman" w:hAnsi="Times New Roman"/>
              </w:rPr>
            </w:pPr>
          </w:p>
        </w:tc>
        <w:tc>
          <w:tcPr>
            <w:tcW w:w="2015" w:type="dxa"/>
            <w:gridSpan w:val="6"/>
            <w:shd w:val="clear" w:color="auto" w:fill="FFFFFF"/>
          </w:tcPr>
          <w:p w14:paraId="26B6DEBA" w14:textId="77777777" w:rsidR="00A52F5A" w:rsidRPr="0095120B" w:rsidRDefault="00A52F5A" w:rsidP="00A52F5A">
            <w:pPr>
              <w:spacing w:line="240" w:lineRule="auto"/>
              <w:rPr>
                <w:rFonts w:ascii="Times New Roman" w:hAnsi="Times New Roman"/>
              </w:rPr>
            </w:pPr>
            <w:r w:rsidRPr="0095120B">
              <w:rPr>
                <w:rFonts w:ascii="Times New Roman" w:hAnsi="Times New Roman"/>
              </w:rPr>
              <w:t>sektor mikro-, małych i średnich przedsiębiorstw</w:t>
            </w:r>
          </w:p>
        </w:tc>
        <w:tc>
          <w:tcPr>
            <w:tcW w:w="817" w:type="dxa"/>
            <w:gridSpan w:val="2"/>
            <w:shd w:val="clear" w:color="auto" w:fill="FFFFFF"/>
          </w:tcPr>
          <w:p w14:paraId="508B43FC" w14:textId="13583D54" w:rsidR="00A52F5A" w:rsidRPr="0095120B" w:rsidRDefault="007333B6" w:rsidP="00A52F5A">
            <w:pPr>
              <w:spacing w:line="240" w:lineRule="auto"/>
              <w:jc w:val="center"/>
              <w:rPr>
                <w:rFonts w:ascii="Times New Roman" w:hAnsi="Times New Roman"/>
              </w:rPr>
            </w:pPr>
            <w:r w:rsidRPr="007333B6">
              <w:rPr>
                <w:rFonts w:ascii="Times New Roman" w:hAnsi="Times New Roman"/>
              </w:rPr>
              <w:t>27,65</w:t>
            </w:r>
          </w:p>
        </w:tc>
        <w:tc>
          <w:tcPr>
            <w:tcW w:w="918" w:type="dxa"/>
            <w:gridSpan w:val="5"/>
            <w:shd w:val="clear" w:color="auto" w:fill="FFFFFF"/>
          </w:tcPr>
          <w:p w14:paraId="09BC0027" w14:textId="1054E03D" w:rsidR="00A52F5A" w:rsidRPr="0095120B" w:rsidRDefault="007333B6" w:rsidP="00A52F5A">
            <w:pPr>
              <w:spacing w:line="240" w:lineRule="auto"/>
              <w:jc w:val="center"/>
              <w:rPr>
                <w:rFonts w:ascii="Times New Roman" w:hAnsi="Times New Roman"/>
              </w:rPr>
            </w:pPr>
            <w:r w:rsidRPr="007333B6">
              <w:rPr>
                <w:rFonts w:ascii="Times New Roman" w:hAnsi="Times New Roman"/>
              </w:rPr>
              <w:t>27,65</w:t>
            </w:r>
          </w:p>
        </w:tc>
        <w:tc>
          <w:tcPr>
            <w:tcW w:w="928" w:type="dxa"/>
            <w:gridSpan w:val="3"/>
            <w:shd w:val="clear" w:color="auto" w:fill="FFFFFF"/>
          </w:tcPr>
          <w:p w14:paraId="0C5E9756" w14:textId="4A2ACF19" w:rsidR="00A52F5A" w:rsidRPr="0095120B" w:rsidRDefault="007333B6" w:rsidP="00A52F5A">
            <w:pPr>
              <w:spacing w:line="240" w:lineRule="auto"/>
              <w:jc w:val="center"/>
              <w:rPr>
                <w:rFonts w:ascii="Times New Roman" w:hAnsi="Times New Roman"/>
              </w:rPr>
            </w:pPr>
            <w:r w:rsidRPr="007333B6">
              <w:rPr>
                <w:rFonts w:ascii="Times New Roman" w:hAnsi="Times New Roman"/>
              </w:rPr>
              <w:t>27,65</w:t>
            </w:r>
            <w:r w:rsidR="00A52F5A" w:rsidRPr="00E57605">
              <w:rPr>
                <w:rFonts w:ascii="Times New Roman" w:hAnsi="Times New Roman"/>
              </w:rPr>
              <w:t xml:space="preserve"> </w:t>
            </w:r>
          </w:p>
        </w:tc>
        <w:tc>
          <w:tcPr>
            <w:tcW w:w="847" w:type="dxa"/>
            <w:gridSpan w:val="2"/>
            <w:shd w:val="clear" w:color="auto" w:fill="FFFFFF"/>
          </w:tcPr>
          <w:p w14:paraId="23E07671" w14:textId="2BF24888" w:rsidR="00A52F5A" w:rsidRPr="0095120B" w:rsidRDefault="007333B6" w:rsidP="00A52F5A">
            <w:pPr>
              <w:spacing w:line="240" w:lineRule="auto"/>
              <w:jc w:val="center"/>
              <w:rPr>
                <w:rFonts w:ascii="Times New Roman" w:hAnsi="Times New Roman"/>
              </w:rPr>
            </w:pPr>
            <w:r w:rsidRPr="007333B6">
              <w:rPr>
                <w:rFonts w:ascii="Times New Roman" w:hAnsi="Times New Roman"/>
              </w:rPr>
              <w:t>27,65</w:t>
            </w:r>
          </w:p>
        </w:tc>
        <w:tc>
          <w:tcPr>
            <w:tcW w:w="791" w:type="dxa"/>
            <w:gridSpan w:val="3"/>
            <w:shd w:val="clear" w:color="auto" w:fill="FFFFFF"/>
          </w:tcPr>
          <w:p w14:paraId="752C895D" w14:textId="7B814E3F" w:rsidR="00A52F5A" w:rsidRPr="0095120B" w:rsidRDefault="007333B6" w:rsidP="00A52F5A">
            <w:pPr>
              <w:spacing w:line="240" w:lineRule="auto"/>
              <w:jc w:val="center"/>
              <w:rPr>
                <w:rFonts w:ascii="Times New Roman" w:hAnsi="Times New Roman"/>
              </w:rPr>
            </w:pPr>
            <w:r w:rsidRPr="007333B6">
              <w:rPr>
                <w:rFonts w:ascii="Times New Roman" w:hAnsi="Times New Roman"/>
              </w:rPr>
              <w:t>27,65</w:t>
            </w:r>
          </w:p>
        </w:tc>
        <w:tc>
          <w:tcPr>
            <w:tcW w:w="850" w:type="dxa"/>
            <w:gridSpan w:val="2"/>
            <w:shd w:val="clear" w:color="auto" w:fill="FFFFFF"/>
          </w:tcPr>
          <w:p w14:paraId="489EBD74" w14:textId="691C4376" w:rsidR="00A52F5A" w:rsidRPr="0095120B" w:rsidRDefault="007333B6" w:rsidP="00A52F5A">
            <w:pPr>
              <w:spacing w:line="240" w:lineRule="auto"/>
              <w:jc w:val="center"/>
              <w:rPr>
                <w:rFonts w:ascii="Times New Roman" w:hAnsi="Times New Roman"/>
              </w:rPr>
            </w:pPr>
            <w:bookmarkStart w:id="8" w:name="_Hlk187962205"/>
            <w:r w:rsidRPr="007333B6">
              <w:t>27,65</w:t>
            </w:r>
            <w:bookmarkEnd w:id="8"/>
          </w:p>
        </w:tc>
        <w:tc>
          <w:tcPr>
            <w:tcW w:w="2190" w:type="dxa"/>
            <w:gridSpan w:val="3"/>
            <w:shd w:val="clear" w:color="auto" w:fill="FFFFFF"/>
          </w:tcPr>
          <w:p w14:paraId="0CD6F0F9" w14:textId="4069661E" w:rsidR="00A52F5A" w:rsidRPr="0095120B" w:rsidRDefault="007333B6" w:rsidP="00A52F5A">
            <w:pPr>
              <w:spacing w:line="240" w:lineRule="auto"/>
              <w:jc w:val="center"/>
              <w:rPr>
                <w:rFonts w:ascii="Times New Roman" w:hAnsi="Times New Roman"/>
                <w:spacing w:val="-2"/>
              </w:rPr>
            </w:pPr>
            <w:r w:rsidRPr="007333B6">
              <w:t>276,5</w:t>
            </w:r>
          </w:p>
        </w:tc>
      </w:tr>
      <w:tr w:rsidR="006D7335" w:rsidRPr="0095120B" w14:paraId="2239AF65" w14:textId="77777777" w:rsidTr="006C5882">
        <w:trPr>
          <w:trHeight w:val="142"/>
        </w:trPr>
        <w:tc>
          <w:tcPr>
            <w:tcW w:w="1447" w:type="dxa"/>
            <w:vMerge/>
            <w:shd w:val="clear" w:color="auto" w:fill="FFFFFF"/>
          </w:tcPr>
          <w:p w14:paraId="3BE2D374" w14:textId="77777777" w:rsidR="00A52F5A" w:rsidRPr="0095120B" w:rsidRDefault="00A52F5A" w:rsidP="00A52F5A">
            <w:pPr>
              <w:spacing w:line="240" w:lineRule="auto"/>
              <w:rPr>
                <w:rFonts w:ascii="Times New Roman" w:hAnsi="Times New Roman"/>
              </w:rPr>
            </w:pPr>
          </w:p>
        </w:tc>
        <w:tc>
          <w:tcPr>
            <w:tcW w:w="2015" w:type="dxa"/>
            <w:gridSpan w:val="6"/>
            <w:shd w:val="clear" w:color="auto" w:fill="FFFFFF"/>
          </w:tcPr>
          <w:p w14:paraId="07D6ECF3" w14:textId="77777777" w:rsidR="00A52F5A" w:rsidRPr="0095120B" w:rsidRDefault="00A52F5A" w:rsidP="00A52F5A">
            <w:pPr>
              <w:spacing w:line="240" w:lineRule="auto"/>
              <w:rPr>
                <w:rFonts w:ascii="Times New Roman" w:hAnsi="Times New Roman"/>
              </w:rPr>
            </w:pPr>
            <w:r w:rsidRPr="0095120B">
              <w:rPr>
                <w:rFonts w:ascii="Times New Roman" w:hAnsi="Times New Roman"/>
              </w:rPr>
              <w:t>rodzina, obywatele oraz gospodarstwa domowe</w:t>
            </w:r>
          </w:p>
        </w:tc>
        <w:tc>
          <w:tcPr>
            <w:tcW w:w="817" w:type="dxa"/>
            <w:gridSpan w:val="2"/>
            <w:shd w:val="clear" w:color="auto" w:fill="FFFFFF"/>
          </w:tcPr>
          <w:p w14:paraId="5B4CD7A7" w14:textId="0E3739C1"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918" w:type="dxa"/>
            <w:gridSpan w:val="5"/>
            <w:shd w:val="clear" w:color="auto" w:fill="FFFFFF"/>
          </w:tcPr>
          <w:p w14:paraId="2DFA1668" w14:textId="10E85CAF"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928" w:type="dxa"/>
            <w:gridSpan w:val="3"/>
            <w:shd w:val="clear" w:color="auto" w:fill="FFFFFF"/>
          </w:tcPr>
          <w:p w14:paraId="6E3A6D78" w14:textId="35F481E4"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847" w:type="dxa"/>
            <w:gridSpan w:val="2"/>
            <w:shd w:val="clear" w:color="auto" w:fill="FFFFFF"/>
          </w:tcPr>
          <w:p w14:paraId="52867EB1" w14:textId="0444F220"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791" w:type="dxa"/>
            <w:gridSpan w:val="3"/>
            <w:shd w:val="clear" w:color="auto" w:fill="FFFFFF"/>
          </w:tcPr>
          <w:p w14:paraId="0CB72DF0" w14:textId="1A6A3246"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850" w:type="dxa"/>
            <w:gridSpan w:val="2"/>
            <w:shd w:val="clear" w:color="auto" w:fill="FFFFFF"/>
          </w:tcPr>
          <w:p w14:paraId="6A69F74C" w14:textId="3295D1CD" w:rsidR="00A52F5A" w:rsidRPr="0095120B" w:rsidRDefault="00A52F5A" w:rsidP="00A52F5A">
            <w:pPr>
              <w:spacing w:line="240" w:lineRule="auto"/>
              <w:jc w:val="center"/>
              <w:rPr>
                <w:rFonts w:ascii="Times New Roman" w:hAnsi="Times New Roman"/>
              </w:rPr>
            </w:pPr>
            <w:r w:rsidRPr="0095120B">
              <w:rPr>
                <w:rFonts w:ascii="Times New Roman" w:hAnsi="Times New Roman"/>
              </w:rPr>
              <w:t>0</w:t>
            </w:r>
          </w:p>
        </w:tc>
        <w:tc>
          <w:tcPr>
            <w:tcW w:w="2190" w:type="dxa"/>
            <w:gridSpan w:val="3"/>
            <w:shd w:val="clear" w:color="auto" w:fill="FFFFFF"/>
          </w:tcPr>
          <w:p w14:paraId="7E4117C4" w14:textId="2BAFCCDB" w:rsidR="00A52F5A" w:rsidRPr="0095120B" w:rsidRDefault="00A52F5A" w:rsidP="00A52F5A">
            <w:pPr>
              <w:spacing w:line="240" w:lineRule="auto"/>
              <w:jc w:val="center"/>
              <w:rPr>
                <w:rFonts w:ascii="Times New Roman" w:hAnsi="Times New Roman"/>
                <w:spacing w:val="-2"/>
              </w:rPr>
            </w:pPr>
            <w:r w:rsidRPr="0095120B">
              <w:rPr>
                <w:rFonts w:ascii="Times New Roman" w:hAnsi="Times New Roman"/>
                <w:spacing w:val="-2"/>
              </w:rPr>
              <w:t>0</w:t>
            </w:r>
          </w:p>
        </w:tc>
      </w:tr>
      <w:tr w:rsidR="00A52F5A" w:rsidRPr="0095120B" w14:paraId="074C78EB" w14:textId="77777777" w:rsidTr="006D7335">
        <w:trPr>
          <w:trHeight w:val="142"/>
        </w:trPr>
        <w:tc>
          <w:tcPr>
            <w:tcW w:w="1447" w:type="dxa"/>
            <w:vMerge w:val="restart"/>
            <w:shd w:val="clear" w:color="auto" w:fill="FFFFFF"/>
          </w:tcPr>
          <w:p w14:paraId="68A589AF" w14:textId="77777777" w:rsidR="00A52F5A" w:rsidRPr="0095120B" w:rsidRDefault="00A52F5A" w:rsidP="00A52F5A">
            <w:pPr>
              <w:spacing w:line="240" w:lineRule="auto"/>
              <w:rPr>
                <w:rFonts w:ascii="Times New Roman" w:hAnsi="Times New Roman"/>
              </w:rPr>
            </w:pPr>
            <w:r w:rsidRPr="0095120B">
              <w:rPr>
                <w:rFonts w:ascii="Times New Roman" w:hAnsi="Times New Roman"/>
              </w:rPr>
              <w:t>W ujęciu niepieniężnym</w:t>
            </w:r>
          </w:p>
        </w:tc>
        <w:tc>
          <w:tcPr>
            <w:tcW w:w="2015" w:type="dxa"/>
            <w:gridSpan w:val="6"/>
            <w:shd w:val="clear" w:color="auto" w:fill="FFFFFF"/>
          </w:tcPr>
          <w:p w14:paraId="319FDEB5" w14:textId="77777777" w:rsidR="00A52F5A" w:rsidRPr="0095120B" w:rsidRDefault="00A52F5A" w:rsidP="00A52F5A">
            <w:pPr>
              <w:spacing w:line="240" w:lineRule="auto"/>
              <w:rPr>
                <w:rFonts w:ascii="Times New Roman" w:hAnsi="Times New Roman"/>
              </w:rPr>
            </w:pPr>
            <w:r w:rsidRPr="0095120B">
              <w:rPr>
                <w:rFonts w:ascii="Times New Roman" w:hAnsi="Times New Roman"/>
              </w:rPr>
              <w:t>duże przedsiębiorstwa</w:t>
            </w:r>
          </w:p>
        </w:tc>
        <w:tc>
          <w:tcPr>
            <w:tcW w:w="7341" w:type="dxa"/>
            <w:gridSpan w:val="20"/>
            <w:shd w:val="clear" w:color="auto" w:fill="FFFFFF"/>
          </w:tcPr>
          <w:p w14:paraId="62B4C508" w14:textId="653F3D45" w:rsidR="00A52F5A" w:rsidRPr="0095120B" w:rsidRDefault="00A52F5A" w:rsidP="00A52F5A">
            <w:pPr>
              <w:spacing w:line="240" w:lineRule="auto"/>
              <w:jc w:val="both"/>
              <w:rPr>
                <w:rFonts w:ascii="Times New Roman" w:hAnsi="Times New Roman"/>
                <w:shd w:val="clear" w:color="auto" w:fill="FFFFFF"/>
              </w:rPr>
            </w:pPr>
            <w:r w:rsidRPr="0095120B">
              <w:rPr>
                <w:rFonts w:ascii="Times New Roman" w:hAnsi="Times New Roman"/>
                <w:spacing w:val="-2"/>
              </w:rPr>
              <w:t xml:space="preserve">Projektowana ustawa wpłynie na duże przedsiębiorstwa będące firmami farmaceutycznymi. Firmy te będą składać wnioski o objęcie refundacją i </w:t>
            </w:r>
            <w:r w:rsidRPr="0095120B">
              <w:rPr>
                <w:rFonts w:ascii="Times New Roman" w:hAnsi="Times New Roman"/>
                <w:shd w:val="clear" w:color="auto" w:fill="FFFFFF"/>
              </w:rPr>
              <w:t>ustalenie ceny zbytu netto leku, środka spożywczego specjalnego przeznaczenia żywieniowego, wyrobu medycznego oraz wnioski o podwyższenie ceny zbytu netto leku, środka spożywczego specjalnego przeznaczenia żywieniowego, wyrobu medycznego objętego refundacją w ramach nowych postępowań zawierających liczne uproszczenia.</w:t>
            </w:r>
          </w:p>
          <w:p w14:paraId="0A1906AE" w14:textId="052177FB"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Proponowana zmiana w zakresie procedury importu docelowego ma pozytywny wpływ na hurtownie farmaceutyczne przez blokadę możliwości pobrania do realizacji zapotrzebowania przez więcej niż jedną hurtownię farmaceutyczną.</w:t>
            </w:r>
          </w:p>
          <w:p w14:paraId="5D2FA151" w14:textId="21380E8E"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Umożliwienie przenoszenia praw i obowiązków wynikających z decyzji o objęciu refundacją na inny podmiot</w:t>
            </w:r>
            <w:r>
              <w:rPr>
                <w:rFonts w:ascii="Times New Roman" w:hAnsi="Times New Roman"/>
                <w:spacing w:val="-2"/>
              </w:rPr>
              <w:t>,</w:t>
            </w:r>
            <w:r w:rsidRPr="0095120B">
              <w:rPr>
                <w:rFonts w:ascii="Times New Roman" w:hAnsi="Times New Roman"/>
                <w:spacing w:val="-2"/>
              </w:rPr>
              <w:t xml:space="preserve"> uprości przedsiębiorcom występującym w roli wnioskodawcy w postępowaniach refundacyjnych proces dostosowania zmian wynikających z decyzji Prezesa Urzędu Rejestracji Produktów Leczniczych, Wyrobów Medycznych i Produktów Biobójczych (URPL) i Komisji Europejskiej w zakresie wyznaczenia podmiotu odpowiedzialnego.</w:t>
            </w:r>
          </w:p>
        </w:tc>
      </w:tr>
      <w:tr w:rsidR="00A52F5A" w:rsidRPr="0095120B" w14:paraId="2E265793" w14:textId="77777777" w:rsidTr="006D7335">
        <w:trPr>
          <w:trHeight w:val="142"/>
        </w:trPr>
        <w:tc>
          <w:tcPr>
            <w:tcW w:w="1447" w:type="dxa"/>
            <w:vMerge/>
            <w:shd w:val="clear" w:color="auto" w:fill="FFFFFF"/>
          </w:tcPr>
          <w:p w14:paraId="1BC796B5" w14:textId="77777777" w:rsidR="00A52F5A" w:rsidRPr="0095120B" w:rsidRDefault="00A52F5A" w:rsidP="00A52F5A">
            <w:pPr>
              <w:spacing w:line="240" w:lineRule="auto"/>
              <w:rPr>
                <w:rFonts w:ascii="Times New Roman" w:hAnsi="Times New Roman"/>
              </w:rPr>
            </w:pPr>
          </w:p>
        </w:tc>
        <w:tc>
          <w:tcPr>
            <w:tcW w:w="2015" w:type="dxa"/>
            <w:gridSpan w:val="6"/>
            <w:shd w:val="clear" w:color="auto" w:fill="FFFFFF"/>
          </w:tcPr>
          <w:p w14:paraId="52ED4E3B" w14:textId="77777777" w:rsidR="00A52F5A" w:rsidRPr="0095120B" w:rsidRDefault="00A52F5A" w:rsidP="00A52F5A">
            <w:pPr>
              <w:spacing w:line="240" w:lineRule="auto"/>
              <w:rPr>
                <w:rFonts w:ascii="Times New Roman" w:hAnsi="Times New Roman"/>
              </w:rPr>
            </w:pPr>
            <w:r w:rsidRPr="0095120B">
              <w:rPr>
                <w:rFonts w:ascii="Times New Roman" w:hAnsi="Times New Roman"/>
              </w:rPr>
              <w:t>sektor mikro-, małych i średnich przedsiębiorstw</w:t>
            </w:r>
          </w:p>
        </w:tc>
        <w:tc>
          <w:tcPr>
            <w:tcW w:w="7341" w:type="dxa"/>
            <w:gridSpan w:val="20"/>
            <w:shd w:val="clear" w:color="auto" w:fill="FFFFFF"/>
          </w:tcPr>
          <w:p w14:paraId="150B3830" w14:textId="368FF9CA" w:rsidR="00A52F5A" w:rsidRDefault="00A52F5A" w:rsidP="00A52F5A">
            <w:pPr>
              <w:spacing w:line="240" w:lineRule="auto"/>
              <w:jc w:val="both"/>
              <w:rPr>
                <w:rFonts w:ascii="Times New Roman" w:hAnsi="Times New Roman"/>
                <w:shd w:val="clear" w:color="auto" w:fill="FFFFFF"/>
              </w:rPr>
            </w:pPr>
            <w:r w:rsidRPr="0095120B">
              <w:rPr>
                <w:rFonts w:ascii="Times New Roman" w:hAnsi="Times New Roman"/>
                <w:spacing w:val="-2"/>
              </w:rPr>
              <w:t xml:space="preserve">Projektowana ustawa wpłynie na sektor mikro-, małych i średnich przedsiębiorstw będących firmami farmaceutycznymi. Firmy te będą składać wnioski o objęcie refundacją i </w:t>
            </w:r>
            <w:r w:rsidRPr="0095120B">
              <w:rPr>
                <w:rFonts w:ascii="Times New Roman" w:hAnsi="Times New Roman"/>
                <w:shd w:val="clear" w:color="auto" w:fill="FFFFFF"/>
              </w:rPr>
              <w:t>ustalenie ceny zbytu netto leku, środka spożywczego specjalnego przeznaczenia żywieniowego, wyrobu medycznego oraz wnioski o podwyższenie ceny zbytu netto leku, środka spożywczego specjalnego przeznaczenia żywieniowego, wyrobu medycznego objętego refundacją w ramach nowych postępowań zawierających liczne uproszczenia.</w:t>
            </w:r>
          </w:p>
          <w:p w14:paraId="102ADFE4" w14:textId="7062FC29" w:rsidR="00A52F5A" w:rsidRPr="0095120B" w:rsidRDefault="00A52F5A" w:rsidP="00A52F5A">
            <w:pPr>
              <w:spacing w:line="240" w:lineRule="auto"/>
              <w:jc w:val="both"/>
              <w:rPr>
                <w:rFonts w:ascii="Times New Roman" w:hAnsi="Times New Roman"/>
                <w:shd w:val="clear" w:color="auto" w:fill="FFFFFF"/>
              </w:rPr>
            </w:pPr>
            <w:r w:rsidRPr="005E3198">
              <w:rPr>
                <w:rFonts w:ascii="Times New Roman" w:hAnsi="Times New Roman"/>
                <w:shd w:val="clear" w:color="auto" w:fill="FFFFFF"/>
              </w:rPr>
              <w:t xml:space="preserve">Wpłynie też na przedsiębiorców prowadzących hurtownie farmaceutyczne dzięki zwiększeniu </w:t>
            </w:r>
            <w:r>
              <w:rPr>
                <w:rFonts w:ascii="Times New Roman" w:hAnsi="Times New Roman"/>
                <w:shd w:val="clear" w:color="auto" w:fill="FFFFFF"/>
              </w:rPr>
              <w:t xml:space="preserve">wysokości </w:t>
            </w:r>
            <w:r w:rsidR="00F01575">
              <w:rPr>
                <w:rFonts w:ascii="Times New Roman" w:hAnsi="Times New Roman"/>
                <w:shd w:val="clear" w:color="auto" w:fill="FFFFFF"/>
              </w:rPr>
              <w:t xml:space="preserve">dolnego limitu </w:t>
            </w:r>
            <w:r>
              <w:rPr>
                <w:rFonts w:ascii="Times New Roman" w:hAnsi="Times New Roman"/>
                <w:shd w:val="clear" w:color="auto" w:fill="FFFFFF"/>
              </w:rPr>
              <w:t>marż hurtowej zapewni dostępność większą rentowność działalności</w:t>
            </w:r>
            <w:r w:rsidR="00F01575">
              <w:rPr>
                <w:rFonts w:ascii="Times New Roman" w:hAnsi="Times New Roman"/>
                <w:shd w:val="clear" w:color="auto" w:fill="FFFFFF"/>
              </w:rPr>
              <w:t>, a przedsiębiorcy zarobią 54,5 mln zł rocznie</w:t>
            </w:r>
            <w:r>
              <w:rPr>
                <w:rFonts w:ascii="Times New Roman" w:hAnsi="Times New Roman"/>
                <w:shd w:val="clear" w:color="auto" w:fill="FFFFFF"/>
              </w:rPr>
              <w:t>. Jednocześnie czyniąc bardziej konkurencyjny obrót najtańszymi lekami w poszczególnych grupach limitowych.</w:t>
            </w:r>
            <w:r w:rsidR="00F01575">
              <w:rPr>
                <w:rFonts w:ascii="Times New Roman" w:hAnsi="Times New Roman"/>
                <w:shd w:val="clear" w:color="auto" w:fill="FFFFFF"/>
              </w:rPr>
              <w:t xml:space="preserve"> </w:t>
            </w:r>
            <w:r w:rsidR="00E90ED4">
              <w:rPr>
                <w:rFonts w:ascii="Times New Roman" w:hAnsi="Times New Roman"/>
                <w:shd w:val="clear" w:color="auto" w:fill="FFFFFF"/>
              </w:rPr>
              <w:t>Dodatkowo zwiększenie limitu finansowania s</w:t>
            </w:r>
            <w:r w:rsidR="00E90ED4" w:rsidRPr="00E90ED4">
              <w:rPr>
                <w:rFonts w:ascii="Times New Roman" w:hAnsi="Times New Roman"/>
                <w:shd w:val="clear" w:color="auto" w:fill="FFFFFF"/>
              </w:rPr>
              <w:t xml:space="preserve">urowców farmaceutycznych do wysokości 25 </w:t>
            </w:r>
            <w:proofErr w:type="spellStart"/>
            <w:r w:rsidR="00E90ED4" w:rsidRPr="00E90ED4">
              <w:rPr>
                <w:rFonts w:ascii="Times New Roman" w:hAnsi="Times New Roman"/>
                <w:shd w:val="clear" w:color="auto" w:fill="FFFFFF"/>
              </w:rPr>
              <w:t>percentyla</w:t>
            </w:r>
            <w:proofErr w:type="spellEnd"/>
            <w:r w:rsidR="00E90ED4" w:rsidRPr="00E90ED4">
              <w:rPr>
                <w:rFonts w:ascii="Times New Roman" w:hAnsi="Times New Roman"/>
                <w:shd w:val="clear" w:color="auto" w:fill="FFFFFF"/>
              </w:rPr>
              <w:t xml:space="preserve"> rozkładu cen danego surowca</w:t>
            </w:r>
            <w:r w:rsidR="00E90ED4">
              <w:rPr>
                <w:rFonts w:ascii="Times New Roman" w:hAnsi="Times New Roman"/>
                <w:shd w:val="clear" w:color="auto" w:fill="FFFFFF"/>
              </w:rPr>
              <w:t xml:space="preserve"> pozwoli zarobić </w:t>
            </w:r>
            <w:r w:rsidR="006204E7">
              <w:rPr>
                <w:rFonts w:ascii="Times New Roman" w:hAnsi="Times New Roman"/>
                <w:shd w:val="clear" w:color="auto" w:fill="FFFFFF"/>
              </w:rPr>
              <w:t xml:space="preserve">aptekom około </w:t>
            </w:r>
            <w:r w:rsidR="00E90ED4">
              <w:rPr>
                <w:rFonts w:ascii="Times New Roman" w:hAnsi="Times New Roman"/>
                <w:shd w:val="clear" w:color="auto" w:fill="FFFFFF"/>
              </w:rPr>
              <w:t xml:space="preserve">0,15 mln zł rocznie. </w:t>
            </w:r>
            <w:r w:rsidR="006204E7">
              <w:rPr>
                <w:rFonts w:ascii="Times New Roman" w:hAnsi="Times New Roman"/>
                <w:shd w:val="clear" w:color="auto" w:fill="FFFFFF"/>
              </w:rPr>
              <w:t xml:space="preserve">Sprawia to, że po uwzględnieniu </w:t>
            </w:r>
            <w:r w:rsidR="00067CCE">
              <w:rPr>
                <w:rFonts w:ascii="Times New Roman" w:hAnsi="Times New Roman"/>
                <w:shd w:val="clear" w:color="auto" w:fill="FFFFFF"/>
              </w:rPr>
              <w:t>o</w:t>
            </w:r>
            <w:r w:rsidR="006204E7">
              <w:rPr>
                <w:rFonts w:ascii="Times New Roman" w:hAnsi="Times New Roman"/>
                <w:shd w:val="clear" w:color="auto" w:fill="FFFFFF"/>
              </w:rPr>
              <w:t>szczędności NFZ</w:t>
            </w:r>
            <w:r w:rsidR="00067CCE">
              <w:rPr>
                <w:rFonts w:ascii="Times New Roman" w:hAnsi="Times New Roman"/>
                <w:shd w:val="clear" w:color="auto" w:fill="FFFFFF"/>
              </w:rPr>
              <w:t xml:space="preserve"> na poziomie 27 mln zł rocznie</w:t>
            </w:r>
            <w:r w:rsidR="006204E7">
              <w:rPr>
                <w:rFonts w:ascii="Times New Roman" w:hAnsi="Times New Roman"/>
                <w:shd w:val="clear" w:color="auto" w:fill="FFFFFF"/>
              </w:rPr>
              <w:t xml:space="preserve"> wynikających z</w:t>
            </w:r>
            <w:r w:rsidR="00067CCE">
              <w:rPr>
                <w:rFonts w:ascii="Times New Roman" w:hAnsi="Times New Roman"/>
                <w:shd w:val="clear" w:color="auto" w:fill="FFFFFF"/>
              </w:rPr>
              <w:t>e z</w:t>
            </w:r>
            <w:r w:rsidR="00067CCE" w:rsidRPr="00067CCE">
              <w:rPr>
                <w:rFonts w:ascii="Times New Roman" w:hAnsi="Times New Roman"/>
                <w:shd w:val="clear" w:color="auto" w:fill="FFFFFF"/>
              </w:rPr>
              <w:t>mian</w:t>
            </w:r>
            <w:r w:rsidR="00067CCE">
              <w:rPr>
                <w:rFonts w:ascii="Times New Roman" w:hAnsi="Times New Roman"/>
                <w:shd w:val="clear" w:color="auto" w:fill="FFFFFF"/>
              </w:rPr>
              <w:t>y</w:t>
            </w:r>
            <w:r w:rsidR="00067CCE" w:rsidRPr="00067CCE">
              <w:rPr>
                <w:rFonts w:ascii="Times New Roman" w:hAnsi="Times New Roman"/>
                <w:shd w:val="clear" w:color="auto" w:fill="FFFFFF"/>
              </w:rPr>
              <w:t xml:space="preserve"> definicji marży aptecznej dla refundowanego leku recepturowego </w:t>
            </w:r>
            <w:r w:rsidR="00067CCE">
              <w:rPr>
                <w:rFonts w:ascii="Times New Roman" w:hAnsi="Times New Roman"/>
                <w:shd w:val="clear" w:color="auto" w:fill="FFFFFF"/>
              </w:rPr>
              <w:t xml:space="preserve">mali i średni przedsiębiorcy będą mogli zarobić </w:t>
            </w:r>
            <w:r w:rsidR="00067CCE" w:rsidRPr="007333B6">
              <w:rPr>
                <w:rFonts w:ascii="Times New Roman" w:hAnsi="Times New Roman"/>
              </w:rPr>
              <w:t>27,65</w:t>
            </w:r>
            <w:r w:rsidR="00067CCE">
              <w:rPr>
                <w:rFonts w:ascii="Times New Roman" w:hAnsi="Times New Roman"/>
              </w:rPr>
              <w:t xml:space="preserve"> mln zł rocznie co przekłada się na 276,5 mln </w:t>
            </w:r>
            <w:r w:rsidR="00DA4126">
              <w:rPr>
                <w:rFonts w:ascii="Times New Roman" w:hAnsi="Times New Roman"/>
              </w:rPr>
              <w:t xml:space="preserve">zł </w:t>
            </w:r>
            <w:r w:rsidR="00067CCE">
              <w:rPr>
                <w:rFonts w:ascii="Times New Roman" w:hAnsi="Times New Roman"/>
              </w:rPr>
              <w:t>w ciągu 10 lat.</w:t>
            </w:r>
            <w:r w:rsidR="00067CCE">
              <w:rPr>
                <w:rFonts w:ascii="Times New Roman" w:hAnsi="Times New Roman"/>
                <w:shd w:val="clear" w:color="auto" w:fill="FFFFFF"/>
              </w:rPr>
              <w:t xml:space="preserve"> </w:t>
            </w:r>
          </w:p>
          <w:p w14:paraId="74DF1B47" w14:textId="79631594"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Umożliwienie przenoszenia praw i obowiązków wynikających z decyzji o objęciu refundacją na inny podmiot</w:t>
            </w:r>
            <w:r>
              <w:rPr>
                <w:rFonts w:ascii="Times New Roman" w:hAnsi="Times New Roman"/>
                <w:spacing w:val="-2"/>
              </w:rPr>
              <w:t>,</w:t>
            </w:r>
            <w:r w:rsidRPr="0095120B">
              <w:rPr>
                <w:rFonts w:ascii="Times New Roman" w:hAnsi="Times New Roman"/>
                <w:spacing w:val="-2"/>
              </w:rPr>
              <w:t xml:space="preserve"> uprości przedsiębiorcom występującym w roli wnioskodawcy w postępowaniach refundacyjnych proces dostosowania zmian wynikających z decyzji Prezesa URPL i Komisji Europejskiej w zakresie wyznaczenia podmiotu odpowiedzialnego.</w:t>
            </w:r>
          </w:p>
        </w:tc>
      </w:tr>
      <w:tr w:rsidR="00A52F5A" w:rsidRPr="0095120B" w14:paraId="16B53109" w14:textId="77777777" w:rsidTr="006D7335">
        <w:trPr>
          <w:trHeight w:val="596"/>
        </w:trPr>
        <w:tc>
          <w:tcPr>
            <w:tcW w:w="1447" w:type="dxa"/>
            <w:vMerge/>
            <w:shd w:val="clear" w:color="auto" w:fill="FFFFFF"/>
          </w:tcPr>
          <w:p w14:paraId="0FFA61B8" w14:textId="77777777" w:rsidR="00A52F5A" w:rsidRPr="0095120B" w:rsidRDefault="00A52F5A" w:rsidP="00A52F5A">
            <w:pPr>
              <w:spacing w:line="240" w:lineRule="auto"/>
              <w:rPr>
                <w:rFonts w:ascii="Times New Roman" w:hAnsi="Times New Roman"/>
              </w:rPr>
            </w:pPr>
          </w:p>
        </w:tc>
        <w:tc>
          <w:tcPr>
            <w:tcW w:w="2015" w:type="dxa"/>
            <w:gridSpan w:val="6"/>
            <w:shd w:val="clear" w:color="auto" w:fill="FFFFFF"/>
          </w:tcPr>
          <w:p w14:paraId="138395FB" w14:textId="136D001A" w:rsidR="00A52F5A" w:rsidRPr="0095120B" w:rsidRDefault="00A52F5A" w:rsidP="00A52F5A">
            <w:pPr>
              <w:tabs>
                <w:tab w:val="right" w:pos="1936"/>
              </w:tabs>
              <w:spacing w:line="240" w:lineRule="auto"/>
              <w:rPr>
                <w:rFonts w:ascii="Times New Roman" w:hAnsi="Times New Roman"/>
              </w:rPr>
            </w:pPr>
            <w:r w:rsidRPr="0095120B">
              <w:rPr>
                <w:rFonts w:ascii="Times New Roman" w:hAnsi="Times New Roman"/>
              </w:rPr>
              <w:t>rodzina, obywatele oraz gospodarstwa domowe a także osoby starsze i niepełnosprawne</w:t>
            </w:r>
          </w:p>
        </w:tc>
        <w:tc>
          <w:tcPr>
            <w:tcW w:w="7341" w:type="dxa"/>
            <w:gridSpan w:val="20"/>
            <w:shd w:val="clear" w:color="auto" w:fill="FFFFFF"/>
          </w:tcPr>
          <w:p w14:paraId="33594AE3" w14:textId="39032658"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Łatwiejszy dostęp do leków refundowanych w ramach dodanej 4 kategorii refundacyjnej</w:t>
            </w:r>
            <w:r w:rsidR="004C1E75">
              <w:rPr>
                <w:rFonts w:ascii="Times New Roman" w:hAnsi="Times New Roman"/>
                <w:spacing w:val="-2"/>
              </w:rPr>
              <w:t xml:space="preserve"> oraz terapii skojarzonych</w:t>
            </w:r>
            <w:r w:rsidRPr="0095120B">
              <w:rPr>
                <w:rFonts w:ascii="Times New Roman" w:hAnsi="Times New Roman"/>
                <w:spacing w:val="-2"/>
              </w:rPr>
              <w:t>.</w:t>
            </w:r>
          </w:p>
          <w:p w14:paraId="665D80F0" w14:textId="77777777"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Ustawa może mieć wpływ na tę grupę w zakresie korzystania z usług w dziedzinach podlegających ograniczeniom, a jednocześnie z uwagi na jej planowane skutki polegające na wzroście poczucia bezpieczeństwa zdrowotnego.</w:t>
            </w:r>
          </w:p>
          <w:p w14:paraId="3A1D7242" w14:textId="3DD5F908" w:rsidR="00A52F5A" w:rsidRPr="0095120B" w:rsidRDefault="00A52F5A" w:rsidP="00A52F5A">
            <w:pPr>
              <w:spacing w:line="240" w:lineRule="auto"/>
              <w:jc w:val="both"/>
              <w:rPr>
                <w:rFonts w:ascii="Times New Roman" w:hAnsi="Times New Roman"/>
                <w:spacing w:val="-2"/>
              </w:rPr>
            </w:pPr>
          </w:p>
        </w:tc>
      </w:tr>
      <w:tr w:rsidR="00A52F5A" w:rsidRPr="0095120B" w14:paraId="294D8C95" w14:textId="77777777" w:rsidTr="006D7335">
        <w:trPr>
          <w:trHeight w:val="142"/>
        </w:trPr>
        <w:tc>
          <w:tcPr>
            <w:tcW w:w="1447" w:type="dxa"/>
            <w:shd w:val="clear" w:color="auto" w:fill="FFFFFF"/>
          </w:tcPr>
          <w:p w14:paraId="567F72FD" w14:textId="77777777" w:rsidR="00A52F5A" w:rsidRPr="0095120B" w:rsidRDefault="00A52F5A" w:rsidP="00A52F5A">
            <w:pPr>
              <w:spacing w:line="240" w:lineRule="auto"/>
              <w:rPr>
                <w:rFonts w:ascii="Times New Roman" w:hAnsi="Times New Roman"/>
              </w:rPr>
            </w:pPr>
            <w:r w:rsidRPr="0095120B">
              <w:rPr>
                <w:rFonts w:ascii="Times New Roman" w:hAnsi="Times New Roman"/>
              </w:rPr>
              <w:t>Niemierzalne</w:t>
            </w:r>
          </w:p>
        </w:tc>
        <w:tc>
          <w:tcPr>
            <w:tcW w:w="2015" w:type="dxa"/>
            <w:gridSpan w:val="6"/>
            <w:shd w:val="clear" w:color="auto" w:fill="FFFFFF"/>
          </w:tcPr>
          <w:p w14:paraId="726B25A7" w14:textId="623F94DF" w:rsidR="00A52F5A" w:rsidRPr="0095120B" w:rsidRDefault="00A52F5A" w:rsidP="00A52F5A">
            <w:pPr>
              <w:spacing w:line="240" w:lineRule="auto"/>
              <w:rPr>
                <w:rFonts w:ascii="Times New Roman" w:hAnsi="Times New Roman"/>
              </w:rPr>
            </w:pPr>
            <w:r w:rsidRPr="0095120B">
              <w:rPr>
                <w:rFonts w:ascii="Times New Roman" w:hAnsi="Times New Roman"/>
              </w:rPr>
              <w:t>Konkurencyjność gospodarki</w:t>
            </w:r>
          </w:p>
        </w:tc>
        <w:tc>
          <w:tcPr>
            <w:tcW w:w="7341" w:type="dxa"/>
            <w:gridSpan w:val="20"/>
            <w:shd w:val="clear" w:color="auto" w:fill="FFFFFF"/>
          </w:tcPr>
          <w:p w14:paraId="13907E64" w14:textId="6025C563"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 xml:space="preserve">Niemierzalne </w:t>
            </w:r>
          </w:p>
        </w:tc>
      </w:tr>
      <w:tr w:rsidR="00A52F5A" w:rsidRPr="0095120B" w14:paraId="62E7D805" w14:textId="77777777" w:rsidTr="00E57605">
        <w:trPr>
          <w:trHeight w:val="841"/>
        </w:trPr>
        <w:tc>
          <w:tcPr>
            <w:tcW w:w="1992" w:type="dxa"/>
            <w:gridSpan w:val="2"/>
            <w:shd w:val="clear" w:color="auto" w:fill="FFFFFF"/>
          </w:tcPr>
          <w:p w14:paraId="5608C046" w14:textId="77777777" w:rsidR="00A52F5A" w:rsidRPr="0095120B" w:rsidRDefault="00A52F5A" w:rsidP="00A52F5A">
            <w:pPr>
              <w:spacing w:line="240" w:lineRule="auto"/>
              <w:rPr>
                <w:rFonts w:ascii="Times New Roman" w:hAnsi="Times New Roman"/>
              </w:rPr>
            </w:pPr>
            <w:r w:rsidRPr="0095120B">
              <w:rPr>
                <w:rFonts w:ascii="Times New Roman" w:hAnsi="Times New Roman"/>
              </w:rPr>
              <w:t xml:space="preserve">Dodatkowe informacje, w tym wskazanie źródeł danych i przyjętych do obliczeń założeń </w:t>
            </w:r>
          </w:p>
        </w:tc>
        <w:tc>
          <w:tcPr>
            <w:tcW w:w="8811" w:type="dxa"/>
            <w:gridSpan w:val="25"/>
            <w:shd w:val="clear" w:color="auto" w:fill="FFFFFF"/>
            <w:vAlign w:val="center"/>
          </w:tcPr>
          <w:p w14:paraId="24B22FFE" w14:textId="1E540C0D" w:rsidR="00A52F5A" w:rsidRPr="0095120B" w:rsidRDefault="00A52F5A" w:rsidP="00A52F5A">
            <w:pPr>
              <w:autoSpaceDE w:val="0"/>
              <w:autoSpaceDN w:val="0"/>
              <w:adjustRightInd w:val="0"/>
              <w:spacing w:line="240" w:lineRule="auto"/>
              <w:jc w:val="both"/>
              <w:rPr>
                <w:rFonts w:ascii="Times New Roman" w:hAnsi="Times New Roman"/>
                <w:spacing w:val="-2"/>
              </w:rPr>
            </w:pPr>
            <w:r w:rsidRPr="0095120B">
              <w:rPr>
                <w:rFonts w:ascii="Times New Roman" w:hAnsi="Times New Roman"/>
                <w:spacing w:val="-2"/>
              </w:rPr>
              <w:t>Brak</w:t>
            </w:r>
          </w:p>
        </w:tc>
      </w:tr>
      <w:tr w:rsidR="00A52F5A" w:rsidRPr="0095120B" w14:paraId="7354F1C3" w14:textId="77777777" w:rsidTr="004663A3">
        <w:trPr>
          <w:trHeight w:val="342"/>
        </w:trPr>
        <w:tc>
          <w:tcPr>
            <w:tcW w:w="10803" w:type="dxa"/>
            <w:gridSpan w:val="27"/>
            <w:shd w:val="clear" w:color="auto" w:fill="99CCFF"/>
            <w:vAlign w:val="center"/>
          </w:tcPr>
          <w:p w14:paraId="73573338" w14:textId="77777777" w:rsidR="00A52F5A" w:rsidRPr="0095120B" w:rsidRDefault="00A52F5A" w:rsidP="00A52F5A">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rPr>
              <w:t xml:space="preserve"> Zmiana obciążeń regulacyjnych (w tym obowiązków informacyjnych) wynikających z projektu</w:t>
            </w:r>
          </w:p>
        </w:tc>
      </w:tr>
      <w:tr w:rsidR="00A52F5A" w:rsidRPr="0095120B" w14:paraId="4FB5EE89" w14:textId="77777777" w:rsidTr="004663A3">
        <w:trPr>
          <w:trHeight w:val="151"/>
        </w:trPr>
        <w:tc>
          <w:tcPr>
            <w:tcW w:w="10803" w:type="dxa"/>
            <w:gridSpan w:val="27"/>
            <w:shd w:val="clear" w:color="auto" w:fill="FFFFFF"/>
          </w:tcPr>
          <w:p w14:paraId="1CCBC0F3" w14:textId="5D636BA1"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nie dotyczy</w:t>
            </w:r>
          </w:p>
        </w:tc>
      </w:tr>
      <w:tr w:rsidR="00A52F5A" w:rsidRPr="0095120B" w14:paraId="4B3C87B9" w14:textId="77777777" w:rsidTr="00E57605">
        <w:trPr>
          <w:trHeight w:val="946"/>
        </w:trPr>
        <w:tc>
          <w:tcPr>
            <w:tcW w:w="4600" w:type="dxa"/>
            <w:gridSpan w:val="12"/>
            <w:shd w:val="clear" w:color="auto" w:fill="FFFFFF"/>
          </w:tcPr>
          <w:p w14:paraId="118CE9D2" w14:textId="77777777" w:rsidR="00A52F5A" w:rsidRPr="0095120B" w:rsidRDefault="00A52F5A" w:rsidP="00A52F5A">
            <w:pPr>
              <w:rPr>
                <w:rFonts w:ascii="Times New Roman" w:hAnsi="Times New Roman"/>
                <w:spacing w:val="-2"/>
              </w:rPr>
            </w:pPr>
            <w:r w:rsidRPr="0095120B">
              <w:rPr>
                <w:rFonts w:ascii="Times New Roman" w:hAnsi="Times New Roman"/>
                <w:spacing w:val="-2"/>
              </w:rPr>
              <w:t xml:space="preserve">Wprowadzane są obciążenia poza bezwzględnie wymaganymi przez UE </w:t>
            </w:r>
            <w:r w:rsidRPr="0095120B">
              <w:rPr>
                <w:rFonts w:ascii="Times New Roman" w:hAnsi="Times New Roman"/>
              </w:rPr>
              <w:t>(szczegóły w odwróconej tabeli zgodności).</w:t>
            </w:r>
          </w:p>
        </w:tc>
        <w:tc>
          <w:tcPr>
            <w:tcW w:w="6203" w:type="dxa"/>
            <w:gridSpan w:val="15"/>
            <w:shd w:val="clear" w:color="auto" w:fill="FFFFFF"/>
          </w:tcPr>
          <w:p w14:paraId="65F2CDEA"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tak</w:t>
            </w:r>
          </w:p>
          <w:p w14:paraId="2ED285CA"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nie</w:t>
            </w:r>
          </w:p>
          <w:p w14:paraId="5D6372EB" w14:textId="0A3FBE07" w:rsidR="00A52F5A" w:rsidRPr="0095120B" w:rsidRDefault="00A52F5A" w:rsidP="00A52F5A">
            <w:pPr>
              <w:rPr>
                <w:rFonts w:ascii="Times New Roman" w:hAnsi="Times New Roman"/>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nie dotyczy</w:t>
            </w:r>
          </w:p>
        </w:tc>
      </w:tr>
      <w:tr w:rsidR="00A52F5A" w:rsidRPr="0095120B" w14:paraId="710CC608" w14:textId="77777777" w:rsidTr="00E57605">
        <w:trPr>
          <w:trHeight w:val="1245"/>
        </w:trPr>
        <w:tc>
          <w:tcPr>
            <w:tcW w:w="4600" w:type="dxa"/>
            <w:gridSpan w:val="12"/>
            <w:shd w:val="clear" w:color="auto" w:fill="FFFFFF"/>
          </w:tcPr>
          <w:p w14:paraId="6C2FA2B0" w14:textId="06D90F4A"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 xml:space="preserve">zmniejszenie liczby dokumentów </w:t>
            </w:r>
          </w:p>
          <w:p w14:paraId="7A813C02" w14:textId="1AAD1387"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zmniejszenie liczby procedur</w:t>
            </w:r>
          </w:p>
          <w:p w14:paraId="4AE82584" w14:textId="176A8C7F"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skrócenie czasu na załatwienie sprawy</w:t>
            </w:r>
          </w:p>
          <w:p w14:paraId="46F41E7B" w14:textId="77777777" w:rsidR="00A52F5A" w:rsidRPr="0095120B" w:rsidRDefault="00A52F5A" w:rsidP="00A52F5A">
            <w:pPr>
              <w:rPr>
                <w:rFonts w:ascii="Times New Roman" w:hAnsi="Times New Roman"/>
                <w:b/>
                <w:spacing w:val="-2"/>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inne:</w:t>
            </w:r>
            <w:r w:rsidRPr="0095120B">
              <w:rPr>
                <w:rFonts w:ascii="Times New Roman" w:hAnsi="Times New Roman"/>
              </w:rPr>
              <w:t xml:space="preserve"> </w:t>
            </w:r>
            <w:r w:rsidRPr="0095120B">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5120B">
              <w:rPr>
                <w:rFonts w:ascii="Times New Roman" w:hAnsi="Times New Roman"/>
              </w:rPr>
              <w:instrText xml:space="preserve"> FORMTEXT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rPr>
              <w:fldChar w:fldCharType="end"/>
            </w:r>
          </w:p>
        </w:tc>
        <w:tc>
          <w:tcPr>
            <w:tcW w:w="6203" w:type="dxa"/>
            <w:gridSpan w:val="15"/>
            <w:shd w:val="clear" w:color="auto" w:fill="FFFFFF"/>
          </w:tcPr>
          <w:p w14:paraId="1E42333F" w14:textId="27A2F678"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zwiększenie liczby dokumentów</w:t>
            </w:r>
          </w:p>
          <w:p w14:paraId="6CB4B434" w14:textId="77777777"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zwiększenie liczby procedur</w:t>
            </w:r>
          </w:p>
          <w:p w14:paraId="6B721132" w14:textId="77777777"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wydłużenie czasu na załatwienie sprawy</w:t>
            </w:r>
          </w:p>
          <w:p w14:paraId="120A90FF"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sz w:val="20"/>
                <w:szCs w:val="20"/>
              </w:rPr>
              <w:t xml:space="preserve"> </w:t>
            </w:r>
            <w:r w:rsidRPr="0095120B">
              <w:rPr>
                <w:rFonts w:ascii="Times New Roman" w:hAnsi="Times New Roman"/>
                <w:spacing w:val="-2"/>
              </w:rPr>
              <w:t>inne:</w:t>
            </w:r>
            <w:r w:rsidRPr="0095120B">
              <w:rPr>
                <w:rFonts w:ascii="Times New Roman" w:hAnsi="Times New Roman"/>
              </w:rPr>
              <w:t xml:space="preserve"> </w:t>
            </w:r>
            <w:r w:rsidRPr="0095120B">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5120B">
              <w:rPr>
                <w:rFonts w:ascii="Times New Roman" w:hAnsi="Times New Roman"/>
              </w:rPr>
              <w:instrText xml:space="preserve"> FORMTEXT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rPr>
              <w:fldChar w:fldCharType="end"/>
            </w:r>
          </w:p>
          <w:p w14:paraId="3A69346B" w14:textId="77777777" w:rsidR="00A52F5A" w:rsidRPr="0095120B" w:rsidRDefault="00A52F5A" w:rsidP="00A52F5A">
            <w:pPr>
              <w:spacing w:line="240" w:lineRule="auto"/>
              <w:rPr>
                <w:rFonts w:ascii="Times New Roman" w:hAnsi="Times New Roman"/>
              </w:rPr>
            </w:pPr>
          </w:p>
        </w:tc>
      </w:tr>
      <w:tr w:rsidR="00A52F5A" w:rsidRPr="0095120B" w14:paraId="0EFA6600" w14:textId="77777777" w:rsidTr="00E57605">
        <w:trPr>
          <w:trHeight w:val="870"/>
        </w:trPr>
        <w:tc>
          <w:tcPr>
            <w:tcW w:w="4600" w:type="dxa"/>
            <w:gridSpan w:val="12"/>
            <w:shd w:val="clear" w:color="auto" w:fill="FFFFFF"/>
          </w:tcPr>
          <w:p w14:paraId="121626F5" w14:textId="77777777" w:rsidR="00A52F5A" w:rsidRPr="0095120B" w:rsidRDefault="00A52F5A" w:rsidP="00A52F5A">
            <w:pPr>
              <w:spacing w:line="240" w:lineRule="auto"/>
              <w:rPr>
                <w:rFonts w:ascii="Times New Roman" w:hAnsi="Times New Roman"/>
              </w:rPr>
            </w:pPr>
            <w:r w:rsidRPr="0095120B">
              <w:rPr>
                <w:rFonts w:ascii="Times New Roman" w:hAnsi="Times New Roman"/>
                <w:spacing w:val="-2"/>
              </w:rPr>
              <w:t xml:space="preserve">Wprowadzane obciążenia są przystosowane do ich elektronizacji. </w:t>
            </w:r>
          </w:p>
        </w:tc>
        <w:tc>
          <w:tcPr>
            <w:tcW w:w="6203" w:type="dxa"/>
            <w:gridSpan w:val="15"/>
            <w:shd w:val="clear" w:color="auto" w:fill="FFFFFF"/>
          </w:tcPr>
          <w:p w14:paraId="76E136D4" w14:textId="66B94CD3"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tak</w:t>
            </w:r>
          </w:p>
          <w:p w14:paraId="39015B34"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nie</w:t>
            </w:r>
          </w:p>
          <w:p w14:paraId="04149ADC" w14:textId="6D1ECF72"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nie dotyczy</w:t>
            </w:r>
          </w:p>
          <w:p w14:paraId="2585898B" w14:textId="77777777" w:rsidR="00A52F5A" w:rsidRPr="0095120B" w:rsidRDefault="00A52F5A" w:rsidP="00A52F5A">
            <w:pPr>
              <w:spacing w:line="240" w:lineRule="auto"/>
              <w:rPr>
                <w:rFonts w:ascii="Times New Roman" w:hAnsi="Times New Roman"/>
              </w:rPr>
            </w:pPr>
          </w:p>
        </w:tc>
      </w:tr>
      <w:tr w:rsidR="00A52F5A" w:rsidRPr="0095120B" w14:paraId="7F3E9026" w14:textId="77777777" w:rsidTr="004663A3">
        <w:trPr>
          <w:trHeight w:val="630"/>
        </w:trPr>
        <w:tc>
          <w:tcPr>
            <w:tcW w:w="10803" w:type="dxa"/>
            <w:gridSpan w:val="27"/>
            <w:shd w:val="clear" w:color="auto" w:fill="FFFFFF"/>
          </w:tcPr>
          <w:p w14:paraId="4E61153F" w14:textId="5F852272"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 xml:space="preserve">Efektem wprowadzenia proponowanych rozwiązań będzie sprawne i efektywne </w:t>
            </w:r>
            <w:r>
              <w:rPr>
                <w:rFonts w:ascii="Times New Roman" w:hAnsi="Times New Roman"/>
                <w:spacing w:val="-2"/>
              </w:rPr>
              <w:t>prowadzenie postępowań administracyjnych wspomagane przez narzędzia informatyczne oraz uproszczone procedury.</w:t>
            </w:r>
          </w:p>
          <w:p w14:paraId="7D78FB3C" w14:textId="770A09B5"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 xml:space="preserve">Nastąpi zmniejszenie liczby dokumentów chociażby przez zmiany w ustawie </w:t>
            </w:r>
            <w:r>
              <w:rPr>
                <w:rFonts w:ascii="Times New Roman" w:hAnsi="Times New Roman"/>
                <w:spacing w:val="-2"/>
              </w:rPr>
              <w:t>refundacyjnej</w:t>
            </w:r>
            <w:r w:rsidRPr="0095120B">
              <w:rPr>
                <w:rFonts w:ascii="Times New Roman" w:hAnsi="Times New Roman"/>
                <w:spacing w:val="-2"/>
              </w:rPr>
              <w:t>. Natomiast zmiany zawarte w projekcie ustawy nie spowodują podwyższenia obciążeń regulacyjnych.</w:t>
            </w:r>
          </w:p>
          <w:p w14:paraId="254B1579" w14:textId="77777777" w:rsidR="00A52F5A" w:rsidRPr="0095120B" w:rsidRDefault="00A52F5A" w:rsidP="00A52F5A">
            <w:pPr>
              <w:spacing w:line="240" w:lineRule="auto"/>
              <w:jc w:val="both"/>
              <w:rPr>
                <w:rFonts w:ascii="Times New Roman" w:hAnsi="Times New Roman"/>
                <w:spacing w:val="-2"/>
              </w:rPr>
            </w:pPr>
            <w:r w:rsidRPr="0095120B">
              <w:rPr>
                <w:rFonts w:ascii="Times New Roman" w:hAnsi="Times New Roman"/>
                <w:spacing w:val="-2"/>
              </w:rPr>
              <w:t>Ponadto efektem wprowadzenia proponowanych rozwiązań będzie:</w:t>
            </w:r>
          </w:p>
          <w:p w14:paraId="6EB8E013" w14:textId="1893E7E6" w:rsidR="00A52F5A" w:rsidRPr="0095120B" w:rsidRDefault="00A52F5A" w:rsidP="00A52F5A">
            <w:pPr>
              <w:pStyle w:val="Akapitzlist"/>
              <w:numPr>
                <w:ilvl w:val="0"/>
                <w:numId w:val="30"/>
              </w:numPr>
              <w:jc w:val="both"/>
              <w:rPr>
                <w:rFonts w:ascii="Times New Roman" w:hAnsi="Times New Roman"/>
                <w:spacing w:val="-2"/>
              </w:rPr>
            </w:pPr>
            <w:r w:rsidRPr="0095120B">
              <w:rPr>
                <w:rFonts w:ascii="Times New Roman" w:hAnsi="Times New Roman"/>
                <w:spacing w:val="-2"/>
              </w:rPr>
              <w:t xml:space="preserve">uproszczenie procedury refundacji indywidualnej przez dookreślenie ustawowe wymogów formalnych wniosków o refundację oraz przyśpieszenie rozpatrywania wniosków o refundację przez wskazanie terminu dla </w:t>
            </w:r>
            <w:r>
              <w:rPr>
                <w:rFonts w:ascii="Times New Roman" w:hAnsi="Times New Roman"/>
                <w:spacing w:val="-2"/>
              </w:rPr>
              <w:t xml:space="preserve">AOTMiT na wydanie </w:t>
            </w:r>
            <w:r w:rsidRPr="005F6F8E">
              <w:rPr>
                <w:rFonts w:ascii="Times New Roman" w:hAnsi="Times New Roman"/>
                <w:spacing w:val="-2"/>
              </w:rPr>
              <w:t>rekomendacji w sprawie zasadności refundacji tego leku lub środka spożywczego specjalnego przeznaczenia żywieniowego w określonym wskazaniu</w:t>
            </w:r>
            <w:r w:rsidRPr="0095120B">
              <w:rPr>
                <w:rFonts w:ascii="Times New Roman" w:hAnsi="Times New Roman"/>
                <w:spacing w:val="-2"/>
              </w:rPr>
              <w:t>;</w:t>
            </w:r>
          </w:p>
          <w:p w14:paraId="457926D2" w14:textId="2D956FB9" w:rsidR="00A52F5A" w:rsidRPr="0095120B" w:rsidRDefault="00A52F5A" w:rsidP="00A52F5A">
            <w:pPr>
              <w:pStyle w:val="Akapitzlist"/>
              <w:numPr>
                <w:ilvl w:val="0"/>
                <w:numId w:val="30"/>
              </w:numPr>
              <w:jc w:val="both"/>
              <w:rPr>
                <w:rFonts w:ascii="Times New Roman" w:hAnsi="Times New Roman"/>
                <w:spacing w:val="-2"/>
              </w:rPr>
            </w:pPr>
            <w:r w:rsidRPr="0095120B">
              <w:rPr>
                <w:rFonts w:ascii="Times New Roman" w:hAnsi="Times New Roman"/>
                <w:spacing w:val="-2"/>
              </w:rPr>
              <w:t>umożliwienie upoważnionym przedstawicielom podmiotów leczniczych weryfikacji wszystkich zapotrzebowań wystawianych na produkty stosowane w tym podmiocie leczniczym oraz umożliwienie rozliczania zapotrzebowań wystawianych na potrzeby doraźne;</w:t>
            </w:r>
          </w:p>
          <w:p w14:paraId="53D3321C" w14:textId="77777777" w:rsidR="00A52F5A" w:rsidRPr="0095120B" w:rsidRDefault="00A52F5A" w:rsidP="00A52F5A">
            <w:pPr>
              <w:pStyle w:val="Akapitzlist"/>
              <w:numPr>
                <w:ilvl w:val="0"/>
                <w:numId w:val="30"/>
              </w:numPr>
              <w:jc w:val="both"/>
              <w:rPr>
                <w:rFonts w:ascii="Times New Roman" w:hAnsi="Times New Roman"/>
                <w:spacing w:val="-2"/>
              </w:rPr>
            </w:pPr>
            <w:r w:rsidRPr="0095120B">
              <w:rPr>
                <w:rFonts w:ascii="Times New Roman" w:hAnsi="Times New Roman"/>
                <w:spacing w:val="-2"/>
              </w:rPr>
              <w:t>doprecyzowanie terminu ważności zapotrzebowania oraz wprowadzenie blokady możliwości pobrania zapotrzebowania do realizacji przez więcej niż jedną hurtownię farmaceutyczną;</w:t>
            </w:r>
          </w:p>
          <w:p w14:paraId="0B987977" w14:textId="00797C8E" w:rsidR="00B6059D" w:rsidRDefault="00A52F5A" w:rsidP="00A52F5A">
            <w:pPr>
              <w:pStyle w:val="Akapitzlist"/>
              <w:numPr>
                <w:ilvl w:val="0"/>
                <w:numId w:val="30"/>
              </w:numPr>
              <w:jc w:val="both"/>
              <w:rPr>
                <w:rFonts w:ascii="Times New Roman" w:hAnsi="Times New Roman"/>
                <w:spacing w:val="-2"/>
              </w:rPr>
            </w:pPr>
            <w:r w:rsidRPr="0095120B">
              <w:rPr>
                <w:rFonts w:ascii="Times New Roman" w:hAnsi="Times New Roman"/>
                <w:spacing w:val="-2"/>
              </w:rPr>
              <w:t>umożliwienie przenoszenia praw i obowiązków wynikających z decyzji o objęciu refundacją na inny podmiot</w:t>
            </w:r>
            <w:r w:rsidR="00F0702F">
              <w:rPr>
                <w:rFonts w:ascii="Times New Roman" w:hAnsi="Times New Roman"/>
                <w:spacing w:val="-2"/>
              </w:rPr>
              <w:t>;</w:t>
            </w:r>
          </w:p>
          <w:p w14:paraId="70492009" w14:textId="559D6661" w:rsidR="00B6059D" w:rsidRDefault="00B6059D" w:rsidP="00A52F5A">
            <w:pPr>
              <w:pStyle w:val="Akapitzlist"/>
              <w:numPr>
                <w:ilvl w:val="0"/>
                <w:numId w:val="30"/>
              </w:numPr>
              <w:jc w:val="both"/>
              <w:rPr>
                <w:rFonts w:ascii="Times New Roman" w:hAnsi="Times New Roman"/>
                <w:spacing w:val="-2"/>
              </w:rPr>
            </w:pPr>
            <w:r>
              <w:rPr>
                <w:rFonts w:ascii="Times New Roman" w:hAnsi="Times New Roman"/>
                <w:spacing w:val="-2"/>
              </w:rPr>
              <w:t xml:space="preserve">zmniejszenie liczby przekładanych dokumentów (kompletu analiz) oraz obniżenie kosztów postępowania (brak obowiązku wniesienia opłaty za przygotowanie analizy weryfikacyjnej przez AOTMiT) przez Wnioskodawców chcących otrzymać decyzję o objęciu refundacją i ustalenia ceny zbytu netto </w:t>
            </w:r>
            <w:r w:rsidRPr="00B6059D">
              <w:rPr>
                <w:rFonts w:ascii="Times New Roman" w:hAnsi="Times New Roman"/>
                <w:spacing w:val="-2"/>
              </w:rPr>
              <w:t>w przypadku wniosków dotyczących leków złożonych</w:t>
            </w:r>
            <w:r w:rsidR="00F0702F">
              <w:rPr>
                <w:rFonts w:ascii="Times New Roman" w:hAnsi="Times New Roman"/>
                <w:spacing w:val="-2"/>
              </w:rPr>
              <w:t>;</w:t>
            </w:r>
          </w:p>
          <w:p w14:paraId="0B455E47" w14:textId="0C27BC28" w:rsidR="00A52F5A" w:rsidRPr="0095120B" w:rsidRDefault="001976A3" w:rsidP="00A52F5A">
            <w:pPr>
              <w:pStyle w:val="Akapitzlist"/>
              <w:numPr>
                <w:ilvl w:val="0"/>
                <w:numId w:val="30"/>
              </w:numPr>
              <w:jc w:val="both"/>
              <w:rPr>
                <w:rFonts w:ascii="Times New Roman" w:hAnsi="Times New Roman"/>
                <w:spacing w:val="-2"/>
              </w:rPr>
            </w:pPr>
            <w:r>
              <w:rPr>
                <w:rFonts w:ascii="Times New Roman" w:hAnsi="Times New Roman"/>
                <w:spacing w:val="-2"/>
              </w:rPr>
              <w:t xml:space="preserve"> dodatkowy obowiązek wskazywania </w:t>
            </w:r>
            <w:r w:rsidRPr="001976A3">
              <w:rPr>
                <w:rFonts w:ascii="Times New Roman" w:hAnsi="Times New Roman"/>
                <w:spacing w:val="-2"/>
              </w:rPr>
              <w:t>kody Międzynarodowej Statystycznej Klasyfikacji Chorób i Problemów Zdrowotnych sporządzonej przez Światową Organizację Zdrowia (WHO)</w:t>
            </w:r>
            <w:r>
              <w:rPr>
                <w:rFonts w:ascii="Times New Roman" w:hAnsi="Times New Roman"/>
                <w:spacing w:val="-2"/>
              </w:rPr>
              <w:t xml:space="preserve"> nie wiążę się z przekładaniem dodatkowych rozwiązań, ale będzie umożliwiał w przyszłości sprawną aktualizację narzędzia informatycznego umożlwiającego lekarzom wypisywać leki refundowane zgodnie ze wskazaniem</w:t>
            </w:r>
            <w:r w:rsidR="00A52F5A" w:rsidRPr="0095120B">
              <w:rPr>
                <w:rFonts w:ascii="Times New Roman" w:hAnsi="Times New Roman"/>
                <w:spacing w:val="-2"/>
              </w:rPr>
              <w:t>.</w:t>
            </w:r>
          </w:p>
        </w:tc>
      </w:tr>
      <w:tr w:rsidR="00A52F5A" w:rsidRPr="0095120B" w14:paraId="3D2C15A6" w14:textId="77777777" w:rsidTr="004663A3">
        <w:trPr>
          <w:trHeight w:val="142"/>
        </w:trPr>
        <w:tc>
          <w:tcPr>
            <w:tcW w:w="10803" w:type="dxa"/>
            <w:gridSpan w:val="27"/>
            <w:shd w:val="clear" w:color="auto" w:fill="99CCFF"/>
          </w:tcPr>
          <w:p w14:paraId="1E2CF127" w14:textId="77777777" w:rsidR="00A52F5A" w:rsidRPr="0095120B" w:rsidRDefault="00A52F5A" w:rsidP="00A52F5A">
            <w:pPr>
              <w:numPr>
                <w:ilvl w:val="0"/>
                <w:numId w:val="1"/>
              </w:numPr>
              <w:spacing w:before="60" w:after="60" w:line="240" w:lineRule="auto"/>
              <w:jc w:val="both"/>
              <w:rPr>
                <w:rFonts w:ascii="Times New Roman" w:hAnsi="Times New Roman"/>
                <w:b/>
              </w:rPr>
            </w:pPr>
            <w:r w:rsidRPr="0095120B">
              <w:rPr>
                <w:rFonts w:ascii="Times New Roman" w:hAnsi="Times New Roman"/>
                <w:b/>
              </w:rPr>
              <w:t xml:space="preserve">Wpływ na rynek pracy </w:t>
            </w:r>
          </w:p>
        </w:tc>
      </w:tr>
      <w:tr w:rsidR="00A52F5A" w:rsidRPr="0095120B" w14:paraId="07A27A2F" w14:textId="77777777" w:rsidTr="004663A3">
        <w:trPr>
          <w:trHeight w:val="142"/>
        </w:trPr>
        <w:tc>
          <w:tcPr>
            <w:tcW w:w="10803" w:type="dxa"/>
            <w:gridSpan w:val="27"/>
            <w:shd w:val="clear" w:color="auto" w:fill="auto"/>
          </w:tcPr>
          <w:p w14:paraId="36737D80" w14:textId="3EE234E5" w:rsidR="00A52F5A" w:rsidRPr="0095120B" w:rsidRDefault="00A52F5A" w:rsidP="00A52F5A">
            <w:pPr>
              <w:spacing w:line="240" w:lineRule="auto"/>
              <w:jc w:val="both"/>
              <w:rPr>
                <w:rFonts w:ascii="Times New Roman" w:hAnsi="Times New Roman"/>
              </w:rPr>
            </w:pPr>
            <w:r w:rsidRPr="0095120B">
              <w:rPr>
                <w:rFonts w:ascii="Times New Roman" w:hAnsi="Times New Roman"/>
              </w:rPr>
              <w:t>Ustawa nie ma wpływu na rynek pracy.</w:t>
            </w:r>
          </w:p>
        </w:tc>
      </w:tr>
      <w:tr w:rsidR="00A52F5A" w:rsidRPr="0095120B" w14:paraId="596A9448" w14:textId="77777777" w:rsidTr="004663A3">
        <w:trPr>
          <w:trHeight w:val="142"/>
        </w:trPr>
        <w:tc>
          <w:tcPr>
            <w:tcW w:w="10803" w:type="dxa"/>
            <w:gridSpan w:val="27"/>
            <w:shd w:val="clear" w:color="auto" w:fill="99CCFF"/>
          </w:tcPr>
          <w:p w14:paraId="7F361903" w14:textId="77777777" w:rsidR="00A52F5A" w:rsidRPr="0095120B" w:rsidRDefault="00A52F5A" w:rsidP="00A52F5A">
            <w:pPr>
              <w:numPr>
                <w:ilvl w:val="0"/>
                <w:numId w:val="1"/>
              </w:numPr>
              <w:spacing w:before="60" w:after="60" w:line="240" w:lineRule="auto"/>
              <w:jc w:val="both"/>
              <w:rPr>
                <w:rFonts w:ascii="Times New Roman" w:hAnsi="Times New Roman"/>
                <w:b/>
              </w:rPr>
            </w:pPr>
            <w:r w:rsidRPr="0095120B">
              <w:rPr>
                <w:rFonts w:ascii="Times New Roman" w:hAnsi="Times New Roman"/>
                <w:b/>
              </w:rPr>
              <w:t>Wpływ na pozostałe obszary</w:t>
            </w:r>
          </w:p>
        </w:tc>
      </w:tr>
      <w:tr w:rsidR="00A52F5A" w:rsidRPr="0095120B" w14:paraId="520BB418" w14:textId="77777777" w:rsidTr="00E57605">
        <w:trPr>
          <w:trHeight w:val="1031"/>
        </w:trPr>
        <w:tc>
          <w:tcPr>
            <w:tcW w:w="3165" w:type="dxa"/>
            <w:gridSpan w:val="6"/>
            <w:shd w:val="clear" w:color="auto" w:fill="FFFFFF"/>
          </w:tcPr>
          <w:p w14:paraId="68C7624C" w14:textId="77777777" w:rsidR="00A52F5A" w:rsidRPr="0095120B" w:rsidRDefault="00A52F5A" w:rsidP="00A52F5A">
            <w:pPr>
              <w:spacing w:line="240" w:lineRule="auto"/>
              <w:rPr>
                <w:rFonts w:ascii="Times New Roman" w:hAnsi="Times New Roman"/>
              </w:rPr>
            </w:pPr>
          </w:p>
          <w:p w14:paraId="4412FD23" w14:textId="77777777"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środowisko naturalne</w:t>
            </w:r>
          </w:p>
          <w:p w14:paraId="27860766"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sytuacja i rozwój regionalny</w:t>
            </w:r>
          </w:p>
          <w:p w14:paraId="5BD6AC2B"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sądy powszechne, administracyjne lub wojskowe</w:t>
            </w:r>
          </w:p>
        </w:tc>
        <w:tc>
          <w:tcPr>
            <w:tcW w:w="3376" w:type="dxa"/>
            <w:gridSpan w:val="12"/>
            <w:shd w:val="clear" w:color="auto" w:fill="FFFFFF"/>
          </w:tcPr>
          <w:p w14:paraId="5597DED6" w14:textId="77777777" w:rsidR="00A52F5A" w:rsidRPr="0095120B" w:rsidRDefault="00A52F5A" w:rsidP="00A52F5A">
            <w:pPr>
              <w:spacing w:line="240" w:lineRule="auto"/>
              <w:rPr>
                <w:rFonts w:ascii="Times New Roman" w:hAnsi="Times New Roman"/>
              </w:rPr>
            </w:pPr>
          </w:p>
          <w:p w14:paraId="3E4CA331" w14:textId="77777777"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demografia</w:t>
            </w:r>
          </w:p>
          <w:p w14:paraId="1D1D5469"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mienie państwowe</w:t>
            </w:r>
          </w:p>
          <w:p w14:paraId="093C102C" w14:textId="77777777"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Wybór1"/>
                  <w:enabled/>
                  <w:calcOnExit w:val="0"/>
                  <w:checkBox>
                    <w:sizeAuto/>
                    <w:default w:val="0"/>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 xml:space="preserve">inne: </w:t>
            </w:r>
            <w:r w:rsidRPr="0095120B">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5120B">
              <w:rPr>
                <w:rFonts w:ascii="Times New Roman" w:hAnsi="Times New Roman"/>
              </w:rPr>
              <w:instrText xml:space="preserve"> FORMTEXT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noProof/>
              </w:rPr>
              <w:t> </w:t>
            </w:r>
            <w:r w:rsidRPr="0095120B">
              <w:rPr>
                <w:rFonts w:ascii="Times New Roman" w:hAnsi="Times New Roman"/>
              </w:rPr>
              <w:fldChar w:fldCharType="end"/>
            </w:r>
          </w:p>
        </w:tc>
        <w:tc>
          <w:tcPr>
            <w:tcW w:w="4262" w:type="dxa"/>
            <w:gridSpan w:val="9"/>
            <w:shd w:val="clear" w:color="auto" w:fill="FFFFFF"/>
          </w:tcPr>
          <w:p w14:paraId="60451B29" w14:textId="77777777" w:rsidR="00A52F5A" w:rsidRPr="0095120B" w:rsidRDefault="00A52F5A" w:rsidP="00A52F5A">
            <w:pPr>
              <w:spacing w:line="240" w:lineRule="auto"/>
              <w:rPr>
                <w:rFonts w:ascii="Times New Roman" w:hAnsi="Times New Roman"/>
              </w:rPr>
            </w:pPr>
          </w:p>
          <w:p w14:paraId="562FD00E" w14:textId="370A621D" w:rsidR="00A52F5A" w:rsidRPr="0095120B" w:rsidRDefault="00A52F5A" w:rsidP="00A52F5A">
            <w:pPr>
              <w:spacing w:line="240" w:lineRule="auto"/>
              <w:rPr>
                <w:rFonts w:ascii="Times New Roman" w:hAnsi="Times New Roman"/>
                <w:spacing w:val="-2"/>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informatyzacja</w:t>
            </w:r>
          </w:p>
          <w:p w14:paraId="034D92F7" w14:textId="1389D7E5" w:rsidR="00A52F5A" w:rsidRPr="0095120B" w:rsidRDefault="00A52F5A" w:rsidP="00A52F5A">
            <w:pPr>
              <w:spacing w:line="240" w:lineRule="auto"/>
              <w:rPr>
                <w:rFonts w:ascii="Times New Roman" w:hAnsi="Times New Roman"/>
              </w:rPr>
            </w:pPr>
            <w:r w:rsidRPr="0095120B">
              <w:rPr>
                <w:rFonts w:ascii="Times New Roman" w:hAnsi="Times New Roman"/>
              </w:rPr>
              <w:fldChar w:fldCharType="begin">
                <w:ffData>
                  <w:name w:val=""/>
                  <w:enabled/>
                  <w:calcOnExit w:val="0"/>
                  <w:checkBox>
                    <w:sizeAuto/>
                    <w:default w:val="1"/>
                  </w:checkBox>
                </w:ffData>
              </w:fldChar>
            </w:r>
            <w:r w:rsidRPr="0095120B">
              <w:rPr>
                <w:rFonts w:ascii="Times New Roman" w:hAnsi="Times New Roman"/>
              </w:rPr>
              <w:instrText xml:space="preserve"> FORMCHECKBOX </w:instrText>
            </w:r>
            <w:r w:rsidRPr="0095120B">
              <w:rPr>
                <w:rFonts w:ascii="Times New Roman" w:hAnsi="Times New Roman"/>
              </w:rPr>
            </w:r>
            <w:r w:rsidRPr="0095120B">
              <w:rPr>
                <w:rFonts w:ascii="Times New Roman" w:hAnsi="Times New Roman"/>
              </w:rPr>
              <w:fldChar w:fldCharType="separate"/>
            </w:r>
            <w:r w:rsidRPr="0095120B">
              <w:rPr>
                <w:rFonts w:ascii="Times New Roman" w:hAnsi="Times New Roman"/>
              </w:rPr>
              <w:fldChar w:fldCharType="end"/>
            </w:r>
            <w:r w:rsidRPr="0095120B">
              <w:rPr>
                <w:rFonts w:ascii="Times New Roman" w:hAnsi="Times New Roman"/>
              </w:rPr>
              <w:t xml:space="preserve"> </w:t>
            </w:r>
            <w:r w:rsidRPr="0095120B">
              <w:rPr>
                <w:rFonts w:ascii="Times New Roman" w:hAnsi="Times New Roman"/>
                <w:spacing w:val="-2"/>
              </w:rPr>
              <w:t>zdrowie</w:t>
            </w:r>
          </w:p>
        </w:tc>
      </w:tr>
      <w:tr w:rsidR="00A52F5A" w:rsidRPr="0095120B" w14:paraId="282FE1AD" w14:textId="77777777" w:rsidTr="003F6220">
        <w:trPr>
          <w:trHeight w:val="1842"/>
        </w:trPr>
        <w:tc>
          <w:tcPr>
            <w:tcW w:w="1992" w:type="dxa"/>
            <w:gridSpan w:val="2"/>
            <w:shd w:val="clear" w:color="auto" w:fill="FFFFFF"/>
            <w:vAlign w:val="center"/>
          </w:tcPr>
          <w:p w14:paraId="2608D690" w14:textId="77777777" w:rsidR="00A52F5A" w:rsidRPr="0095120B" w:rsidRDefault="00A52F5A" w:rsidP="00A52F5A">
            <w:pPr>
              <w:spacing w:line="240" w:lineRule="auto"/>
              <w:rPr>
                <w:rFonts w:ascii="Times New Roman" w:hAnsi="Times New Roman"/>
              </w:rPr>
            </w:pPr>
            <w:r w:rsidRPr="0095120B">
              <w:rPr>
                <w:rFonts w:ascii="Times New Roman" w:hAnsi="Times New Roman"/>
              </w:rPr>
              <w:t>Omówienie wpływu</w:t>
            </w:r>
          </w:p>
        </w:tc>
        <w:tc>
          <w:tcPr>
            <w:tcW w:w="8811" w:type="dxa"/>
            <w:gridSpan w:val="25"/>
            <w:shd w:val="clear" w:color="auto" w:fill="FFFFFF"/>
            <w:vAlign w:val="center"/>
          </w:tcPr>
          <w:p w14:paraId="7FCA4541" w14:textId="3ECCF7D5" w:rsidR="00A52F5A" w:rsidRDefault="00A52F5A" w:rsidP="00A52F5A">
            <w:pPr>
              <w:spacing w:line="240" w:lineRule="auto"/>
              <w:jc w:val="both"/>
              <w:rPr>
                <w:rFonts w:ascii="Times New Roman" w:hAnsi="Times New Roman"/>
              </w:rPr>
            </w:pPr>
            <w:r>
              <w:rPr>
                <w:rFonts w:ascii="Times New Roman" w:hAnsi="Times New Roman"/>
              </w:rPr>
              <w:t>W obszarze zdrowia e</w:t>
            </w:r>
            <w:r w:rsidRPr="0095120B">
              <w:rPr>
                <w:rFonts w:ascii="Times New Roman" w:hAnsi="Times New Roman"/>
              </w:rPr>
              <w:t xml:space="preserve">fektem wprowadzenia proponowanych rozwiązań będzie sprawne i efektywne </w:t>
            </w:r>
            <w:r>
              <w:rPr>
                <w:rFonts w:ascii="Times New Roman" w:hAnsi="Times New Roman"/>
              </w:rPr>
              <w:t xml:space="preserve">prowadzenie postępowań administracyjnych w ochronie </w:t>
            </w:r>
            <w:r w:rsidRPr="0095120B">
              <w:rPr>
                <w:rFonts w:ascii="Times New Roman" w:hAnsi="Times New Roman"/>
              </w:rPr>
              <w:t>zdrowia</w:t>
            </w:r>
            <w:r>
              <w:rPr>
                <w:rFonts w:ascii="Times New Roman" w:hAnsi="Times New Roman"/>
              </w:rPr>
              <w:t>, a dzięki temu pacjenci będą mieli lepszy dostęp do leków zarówno w refundacji ogólnej, jak i indywidualnej.</w:t>
            </w:r>
          </w:p>
          <w:p w14:paraId="31C330B2" w14:textId="4EE8D993" w:rsidR="00A52F5A" w:rsidRPr="00E10D7A" w:rsidRDefault="00A52F5A" w:rsidP="00A52F5A">
            <w:pPr>
              <w:rPr>
                <w:rFonts w:ascii="Times New Roman" w:hAnsi="Times New Roman"/>
              </w:rPr>
            </w:pPr>
            <w:r>
              <w:rPr>
                <w:rFonts w:ascii="Times New Roman" w:hAnsi="Times New Roman"/>
              </w:rPr>
              <w:t xml:space="preserve">Na obszar informatyzacji projekt oddziałuje głownie w tym zakresie, w jakim w sekcji </w:t>
            </w:r>
            <w:r w:rsidR="00D82EFA">
              <w:rPr>
                <w:rFonts w:ascii="Times New Roman" w:hAnsi="Times New Roman"/>
              </w:rPr>
              <w:t>4</w:t>
            </w:r>
            <w:r>
              <w:rPr>
                <w:rFonts w:ascii="Times New Roman" w:hAnsi="Times New Roman"/>
              </w:rPr>
              <w:t xml:space="preserve"> niniejszej OSR mowa jest o </w:t>
            </w:r>
            <w:r>
              <w:rPr>
                <w:rFonts w:ascii="Times New Roman" w:hAnsi="Times New Roman"/>
                <w:spacing w:val="-2"/>
              </w:rPr>
              <w:t>r</w:t>
            </w:r>
            <w:r w:rsidRPr="0095120B">
              <w:rPr>
                <w:rFonts w:ascii="Times New Roman" w:hAnsi="Times New Roman"/>
                <w:spacing w:val="-2"/>
              </w:rPr>
              <w:t>ozbudow</w:t>
            </w:r>
            <w:r>
              <w:rPr>
                <w:rFonts w:ascii="Times New Roman" w:hAnsi="Times New Roman"/>
                <w:spacing w:val="-2"/>
              </w:rPr>
              <w:t>ie</w:t>
            </w:r>
            <w:r w:rsidRPr="0095120B">
              <w:rPr>
                <w:rFonts w:ascii="Times New Roman" w:hAnsi="Times New Roman"/>
                <w:spacing w:val="-2"/>
              </w:rPr>
              <w:t xml:space="preserve"> istniejących systemów informatycznych SOID</w:t>
            </w:r>
            <w:r>
              <w:rPr>
                <w:rFonts w:ascii="Times New Roman" w:hAnsi="Times New Roman"/>
                <w:spacing w:val="-2"/>
              </w:rPr>
              <w:t>,</w:t>
            </w:r>
            <w:r w:rsidRPr="0095120B">
              <w:rPr>
                <w:rFonts w:ascii="Times New Roman" w:hAnsi="Times New Roman"/>
                <w:spacing w:val="-2"/>
              </w:rPr>
              <w:t xml:space="preserve"> SOLR </w:t>
            </w:r>
            <w:r>
              <w:rPr>
                <w:rFonts w:ascii="Times New Roman" w:hAnsi="Times New Roman"/>
                <w:spacing w:val="-2"/>
              </w:rPr>
              <w:t>oraz stworzeniu systemu</w:t>
            </w:r>
            <w:r w:rsidRPr="0095120B">
              <w:rPr>
                <w:rFonts w:ascii="Times New Roman" w:hAnsi="Times New Roman"/>
                <w:spacing w:val="-2"/>
              </w:rPr>
              <w:t xml:space="preserve"> SWDPL</w:t>
            </w:r>
            <w:r>
              <w:rPr>
                <w:rFonts w:ascii="Times New Roman" w:hAnsi="Times New Roman"/>
                <w:spacing w:val="-2"/>
              </w:rPr>
              <w:t>.</w:t>
            </w:r>
          </w:p>
        </w:tc>
      </w:tr>
      <w:tr w:rsidR="00A52F5A" w:rsidRPr="0095120B" w14:paraId="7B42578D" w14:textId="77777777" w:rsidTr="004663A3">
        <w:trPr>
          <w:trHeight w:val="450"/>
        </w:trPr>
        <w:tc>
          <w:tcPr>
            <w:tcW w:w="10803" w:type="dxa"/>
            <w:gridSpan w:val="27"/>
            <w:shd w:val="clear" w:color="auto" w:fill="99CCFF"/>
          </w:tcPr>
          <w:p w14:paraId="4FF1687D" w14:textId="77777777" w:rsidR="00A52F5A" w:rsidRPr="0095120B" w:rsidRDefault="00A52F5A" w:rsidP="00A52F5A">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spacing w:val="-2"/>
                <w:sz w:val="21"/>
                <w:szCs w:val="21"/>
              </w:rPr>
              <w:t>Planowane wykonanie przepisów aktu prawnego</w:t>
            </w:r>
          </w:p>
        </w:tc>
      </w:tr>
      <w:tr w:rsidR="00A52F5A" w:rsidRPr="0095120B" w14:paraId="166DA65E" w14:textId="77777777" w:rsidTr="004663A3">
        <w:trPr>
          <w:trHeight w:val="142"/>
        </w:trPr>
        <w:tc>
          <w:tcPr>
            <w:tcW w:w="10803" w:type="dxa"/>
            <w:gridSpan w:val="27"/>
            <w:shd w:val="clear" w:color="auto" w:fill="FFFFFF"/>
          </w:tcPr>
          <w:p w14:paraId="6B1E5358" w14:textId="77777777" w:rsidR="00BD4097" w:rsidRPr="00AB3A9A" w:rsidRDefault="00BD4097" w:rsidP="00BD4097">
            <w:pPr>
              <w:spacing w:line="240" w:lineRule="auto"/>
              <w:jc w:val="both"/>
              <w:rPr>
                <w:rFonts w:ascii="Times New Roman" w:hAnsi="Times New Roman"/>
                <w:spacing w:val="-2"/>
              </w:rPr>
            </w:pPr>
            <w:r w:rsidRPr="0095120B">
              <w:rPr>
                <w:rFonts w:ascii="Times New Roman" w:hAnsi="Times New Roman"/>
                <w:spacing w:val="-2"/>
              </w:rPr>
              <w:t xml:space="preserve">Przewiduje się, że ustawa wejdzie w życie z dniem </w:t>
            </w:r>
            <w:r w:rsidRPr="00AB3A9A">
              <w:rPr>
                <w:rFonts w:ascii="Times New Roman" w:hAnsi="Times New Roman"/>
                <w:spacing w:val="-2"/>
              </w:rPr>
              <w:t xml:space="preserve">1 </w:t>
            </w:r>
            <w:r>
              <w:rPr>
                <w:rFonts w:ascii="Times New Roman" w:hAnsi="Times New Roman"/>
                <w:spacing w:val="-2"/>
              </w:rPr>
              <w:t xml:space="preserve">stycznia </w:t>
            </w:r>
            <w:r w:rsidRPr="00AB3A9A">
              <w:rPr>
                <w:rFonts w:ascii="Times New Roman" w:hAnsi="Times New Roman"/>
                <w:spacing w:val="-2"/>
              </w:rPr>
              <w:t>202</w:t>
            </w:r>
            <w:r>
              <w:rPr>
                <w:rFonts w:ascii="Times New Roman" w:hAnsi="Times New Roman"/>
                <w:spacing w:val="-2"/>
              </w:rPr>
              <w:t>6</w:t>
            </w:r>
            <w:r w:rsidRPr="00AB3A9A">
              <w:rPr>
                <w:rFonts w:ascii="Times New Roman" w:hAnsi="Times New Roman"/>
                <w:spacing w:val="-2"/>
              </w:rPr>
              <w:t xml:space="preserve"> r., z wyjątkiem przepisów dotyczących:</w:t>
            </w:r>
          </w:p>
          <w:p w14:paraId="105E4B4E" w14:textId="4D1FB80D" w:rsidR="00BD4097" w:rsidRPr="006D7335" w:rsidRDefault="00BD4097" w:rsidP="006D7335">
            <w:pPr>
              <w:pStyle w:val="Akapitzlist"/>
              <w:numPr>
                <w:ilvl w:val="0"/>
                <w:numId w:val="59"/>
              </w:numPr>
              <w:jc w:val="both"/>
              <w:rPr>
                <w:rFonts w:ascii="Times New Roman" w:hAnsi="Times New Roman"/>
                <w:spacing w:val="-2"/>
              </w:rPr>
            </w:pPr>
            <w:bookmarkStart w:id="9" w:name="_Hlk195102365"/>
            <w:r w:rsidRPr="006D7335">
              <w:rPr>
                <w:rFonts w:ascii="Times New Roman" w:hAnsi="Times New Roman"/>
                <w:spacing w:val="-2"/>
              </w:rPr>
              <w:t>możliwoś</w:t>
            </w:r>
            <w:r w:rsidR="005A13C4">
              <w:rPr>
                <w:rFonts w:ascii="Times New Roman" w:hAnsi="Times New Roman"/>
                <w:spacing w:val="-2"/>
              </w:rPr>
              <w:t>ci</w:t>
            </w:r>
            <w:r w:rsidRPr="006D7335">
              <w:rPr>
                <w:rFonts w:ascii="Times New Roman" w:hAnsi="Times New Roman"/>
                <w:spacing w:val="-2"/>
              </w:rPr>
              <w:t xml:space="preserve"> odstąpienia od cofnięcia zezwolenia na prowadzenie hurtowni farmaceutycznej przez Głównego Inspektora Farmaceutycznego</w:t>
            </w:r>
            <w:r w:rsidR="00932104">
              <w:rPr>
                <w:rFonts w:ascii="Times New Roman" w:hAnsi="Times New Roman"/>
                <w:spacing w:val="-2"/>
              </w:rPr>
              <w:t xml:space="preserve">, </w:t>
            </w:r>
            <w:r w:rsidRPr="006D7335">
              <w:rPr>
                <w:rFonts w:ascii="Times New Roman" w:hAnsi="Times New Roman"/>
                <w:spacing w:val="-2"/>
              </w:rPr>
              <w:t>wymierzania kar pieniężnych przez Głównego Inspektora Farmaceutycznego przedsiębiorcom prowadzącym działalność polegającą na prowadzeniu hurtowni farmaceutycznej</w:t>
            </w:r>
            <w:r w:rsidR="00932104">
              <w:rPr>
                <w:rFonts w:ascii="Times New Roman" w:hAnsi="Times New Roman"/>
                <w:spacing w:val="-2"/>
              </w:rPr>
              <w:t xml:space="preserve"> oraz organizacji</w:t>
            </w:r>
            <w:r w:rsidR="00932104" w:rsidRPr="00932104">
              <w:rPr>
                <w:rFonts w:ascii="Times New Roman" w:hAnsi="Times New Roman"/>
                <w:spacing w:val="-2"/>
              </w:rPr>
              <w:t xml:space="preserve"> egzaminu kontrolerskiego</w:t>
            </w:r>
            <w:r w:rsidR="00932104">
              <w:rPr>
                <w:rFonts w:ascii="Times New Roman" w:hAnsi="Times New Roman"/>
                <w:spacing w:val="-2"/>
              </w:rPr>
              <w:t xml:space="preserve"> przez Prezesa Funduszu</w:t>
            </w:r>
            <w:r w:rsidRPr="006D7335">
              <w:rPr>
                <w:rFonts w:ascii="Times New Roman" w:hAnsi="Times New Roman"/>
                <w:spacing w:val="-2"/>
              </w:rPr>
              <w:t>, które wchodzą w życie 14 dni od dnia ogłoszenia ustawy</w:t>
            </w:r>
            <w:r>
              <w:rPr>
                <w:rFonts w:ascii="Times New Roman" w:hAnsi="Times New Roman"/>
                <w:spacing w:val="-2"/>
              </w:rPr>
              <w:t>;</w:t>
            </w:r>
          </w:p>
          <w:p w14:paraId="2FCA574D" w14:textId="545DE175" w:rsidR="00BD4097" w:rsidRDefault="00BD4097" w:rsidP="00BD4097">
            <w:pPr>
              <w:pStyle w:val="Akapitzlist"/>
              <w:numPr>
                <w:ilvl w:val="0"/>
                <w:numId w:val="59"/>
              </w:numPr>
              <w:jc w:val="both"/>
              <w:rPr>
                <w:rFonts w:ascii="Times New Roman" w:hAnsi="Times New Roman"/>
                <w:spacing w:val="-2"/>
              </w:rPr>
            </w:pPr>
            <w:r w:rsidRPr="00BD4097">
              <w:rPr>
                <w:rFonts w:ascii="Times New Roman" w:hAnsi="Times New Roman"/>
                <w:spacing w:val="-2"/>
              </w:rPr>
              <w:t>rozbudowy SOID, które wchodzą w życie po upływie 6 miesięcy od dnia ogłoszenia</w:t>
            </w:r>
            <w:r>
              <w:rPr>
                <w:rFonts w:ascii="Times New Roman" w:hAnsi="Times New Roman"/>
                <w:spacing w:val="-2"/>
              </w:rPr>
              <w:t>;</w:t>
            </w:r>
          </w:p>
          <w:p w14:paraId="58ACB7BE" w14:textId="77777777" w:rsidR="00BD4097" w:rsidRPr="00BD4097" w:rsidRDefault="00BD4097" w:rsidP="00BD4097">
            <w:pPr>
              <w:pStyle w:val="Akapitzlist"/>
              <w:numPr>
                <w:ilvl w:val="0"/>
                <w:numId w:val="59"/>
              </w:numPr>
              <w:rPr>
                <w:rFonts w:ascii="Times New Roman" w:hAnsi="Times New Roman"/>
                <w:spacing w:val="-2"/>
              </w:rPr>
            </w:pPr>
            <w:r w:rsidRPr="00BD4097">
              <w:rPr>
                <w:rFonts w:ascii="Times New Roman" w:hAnsi="Times New Roman"/>
                <w:spacing w:val="-2"/>
              </w:rPr>
              <w:t>umożliwienia wykorzystywania ZSMOPL w realizacji obowiązków związanych ze zgłaszaniem odmów realizacji zamówień, o którym mowa w art. 36z ust. 4 ustawy z dnia 6 września 2001 r. – Prawo farmaceutyczne, które wejdą w życie po upływie 12 miesięcy od dnia ogłoszenia ustawy;</w:t>
            </w:r>
          </w:p>
          <w:p w14:paraId="70E0D1D5" w14:textId="51F454B6" w:rsidR="00BD4097" w:rsidRDefault="00BD4097" w:rsidP="00BD4097">
            <w:pPr>
              <w:pStyle w:val="Akapitzlist"/>
              <w:numPr>
                <w:ilvl w:val="0"/>
                <w:numId w:val="59"/>
              </w:numPr>
              <w:jc w:val="both"/>
              <w:rPr>
                <w:rFonts w:ascii="Times New Roman" w:hAnsi="Times New Roman"/>
                <w:spacing w:val="-2"/>
              </w:rPr>
            </w:pPr>
            <w:r w:rsidRPr="00BD4097">
              <w:rPr>
                <w:rFonts w:ascii="Times New Roman" w:hAnsi="Times New Roman"/>
                <w:spacing w:val="-2"/>
              </w:rPr>
              <w:t>Zintegrowanego Systemu Monitorowania Obrotu Produktami Leczniczymi w zakresie zagregowania danych o stanach magazynowych leków należących do konkretnego podmiotu odpowiedzialnego na różnych poziomach dystrybucji oraz udostępniania danych z ZSMOPL</w:t>
            </w:r>
            <w:r w:rsidR="00D00CD8">
              <w:rPr>
                <w:rFonts w:ascii="Times New Roman" w:hAnsi="Times New Roman"/>
                <w:spacing w:val="-2"/>
              </w:rPr>
              <w:t xml:space="preserve"> NFZ</w:t>
            </w:r>
            <w:r w:rsidRPr="00BD4097">
              <w:rPr>
                <w:rFonts w:ascii="Times New Roman" w:hAnsi="Times New Roman"/>
                <w:spacing w:val="-2"/>
              </w:rPr>
              <w:t xml:space="preserve">, które wejdą w życie </w:t>
            </w:r>
            <w:r w:rsidR="00D00CD8">
              <w:rPr>
                <w:rFonts w:ascii="Times New Roman" w:hAnsi="Times New Roman"/>
                <w:spacing w:val="-2"/>
              </w:rPr>
              <w:t xml:space="preserve">z dniem </w:t>
            </w:r>
            <w:r w:rsidRPr="00BD4097">
              <w:rPr>
                <w:rFonts w:ascii="Times New Roman" w:hAnsi="Times New Roman"/>
                <w:spacing w:val="-2"/>
              </w:rPr>
              <w:t>1 kwietnia 2026 r.</w:t>
            </w:r>
            <w:r>
              <w:rPr>
                <w:rFonts w:ascii="Times New Roman" w:hAnsi="Times New Roman"/>
                <w:spacing w:val="-2"/>
              </w:rPr>
              <w:t>;</w:t>
            </w:r>
          </w:p>
          <w:p w14:paraId="5CE991B6" w14:textId="741A3CB3" w:rsidR="00BD4097" w:rsidRDefault="00BD4097" w:rsidP="00BD4097">
            <w:pPr>
              <w:pStyle w:val="Akapitzlist"/>
              <w:numPr>
                <w:ilvl w:val="0"/>
                <w:numId w:val="59"/>
              </w:numPr>
              <w:jc w:val="both"/>
              <w:rPr>
                <w:rFonts w:ascii="Times New Roman" w:hAnsi="Times New Roman"/>
                <w:spacing w:val="-2"/>
              </w:rPr>
            </w:pPr>
            <w:r w:rsidRPr="00BD4097">
              <w:rPr>
                <w:rFonts w:ascii="Times New Roman" w:hAnsi="Times New Roman"/>
                <w:spacing w:val="-2"/>
              </w:rPr>
              <w:t>leków stosowanych w chorobach innych niż onkologiczne w ramach udzielania świadczeń, o których mowa w art. 15 ust. 2 pkt 2 i 3 ustawy z dnia 27 sierpnia 2004 r. o świadczeniach, opieki zdrowotnej finansowanych ze środków publicznych we wskazaniu określonym stanem klinicznym</w:t>
            </w:r>
            <w:r>
              <w:rPr>
                <w:rFonts w:ascii="Times New Roman" w:hAnsi="Times New Roman"/>
                <w:spacing w:val="-2"/>
              </w:rPr>
              <w:t xml:space="preserve">, </w:t>
            </w:r>
            <w:r w:rsidRPr="00BD4097">
              <w:rPr>
                <w:rFonts w:ascii="Times New Roman" w:hAnsi="Times New Roman"/>
                <w:spacing w:val="-2"/>
              </w:rPr>
              <w:t>leku albo środka który nie ma odpowiednika refundowanego w danym wskazaniu w kategorii dostępności refundacyjnej, o której mowa w art. 6 ust. 1 pkt 2, dla którego tworzy się nowy program lekowy zawiera zobowiązanie wnioskodawcy do dostarczenia i sfinansowania leku albo środka spożywczego specjalnego przeznaczenia żywieniowego do świadczeniodawcy od pierwszego dnia obowiązywania decyzji</w:t>
            </w:r>
            <w:r>
              <w:rPr>
                <w:rFonts w:ascii="Times New Roman" w:hAnsi="Times New Roman"/>
                <w:spacing w:val="-2"/>
              </w:rPr>
              <w:t xml:space="preserve">, </w:t>
            </w:r>
            <w:r w:rsidR="00A73B29">
              <w:rPr>
                <w:rFonts w:ascii="Times New Roman" w:hAnsi="Times New Roman"/>
                <w:spacing w:val="-2"/>
              </w:rPr>
              <w:t xml:space="preserve">dotyczących surowców farmaceutycznych, utensyliów, raportowania surowców farmaceutycznych w ZSMOPL, </w:t>
            </w:r>
            <w:r w:rsidR="00A73B29" w:rsidRPr="00523E3E">
              <w:rPr>
                <w:rFonts w:ascii="Times New Roman" w:hAnsi="Times New Roman"/>
                <w:spacing w:val="-2"/>
              </w:rPr>
              <w:t>Zintegrowanego Systemu Monitorowania Obrotu Produktami Leczniczymi w zakresie</w:t>
            </w:r>
            <w:r w:rsidR="00A73B29">
              <w:rPr>
                <w:rFonts w:ascii="Times New Roman" w:hAnsi="Times New Roman"/>
                <w:spacing w:val="-2"/>
              </w:rPr>
              <w:t xml:space="preserve"> obowiązku raportowania </w:t>
            </w:r>
            <w:r w:rsidR="00A73B29" w:rsidRPr="00523E3E">
              <w:rPr>
                <w:rFonts w:ascii="Times New Roman" w:hAnsi="Times New Roman"/>
                <w:spacing w:val="-2"/>
              </w:rPr>
              <w:t>wolnienie serii do obrotu (PZO) dla wszystkich produktów leczniczych</w:t>
            </w:r>
            <w:r w:rsidR="00A73B29">
              <w:rPr>
                <w:rFonts w:ascii="Times New Roman" w:hAnsi="Times New Roman"/>
                <w:spacing w:val="-2"/>
              </w:rPr>
              <w:t>,</w:t>
            </w:r>
            <w:r w:rsidR="00A73B29">
              <w:t xml:space="preserve"> </w:t>
            </w:r>
            <w:r w:rsidR="00A73B29" w:rsidRPr="00523E3E">
              <w:rPr>
                <w:rFonts w:ascii="Times New Roman" w:hAnsi="Times New Roman"/>
                <w:spacing w:val="-2"/>
              </w:rPr>
              <w:t>które wejdą w życie</w:t>
            </w:r>
            <w:r w:rsidR="00A73B29">
              <w:rPr>
                <w:rFonts w:ascii="Times New Roman" w:hAnsi="Times New Roman"/>
                <w:spacing w:val="-2"/>
              </w:rPr>
              <w:t xml:space="preserve"> </w:t>
            </w:r>
            <w:r w:rsidR="00A73B29" w:rsidRPr="00A73B29">
              <w:rPr>
                <w:rFonts w:ascii="Times New Roman" w:hAnsi="Times New Roman"/>
                <w:spacing w:val="-2"/>
              </w:rPr>
              <w:t>1 lipca 2026 r</w:t>
            </w:r>
            <w:r w:rsidR="00A73B29">
              <w:rPr>
                <w:rFonts w:ascii="Times New Roman" w:hAnsi="Times New Roman"/>
                <w:spacing w:val="-2"/>
              </w:rPr>
              <w:t>.;</w:t>
            </w:r>
          </w:p>
          <w:p w14:paraId="60040CD8" w14:textId="7721EAC4" w:rsidR="0080769F" w:rsidRPr="003C0FAC" w:rsidRDefault="00BD4097" w:rsidP="006D7335">
            <w:pPr>
              <w:pStyle w:val="Akapitzlist"/>
              <w:numPr>
                <w:ilvl w:val="0"/>
                <w:numId w:val="59"/>
              </w:numPr>
              <w:jc w:val="both"/>
              <w:rPr>
                <w:rFonts w:ascii="Times New Roman" w:hAnsi="Times New Roman"/>
                <w:spacing w:val="-2"/>
              </w:rPr>
            </w:pPr>
            <w:r w:rsidRPr="006D7335">
              <w:rPr>
                <w:rFonts w:ascii="Times New Roman" w:hAnsi="Times New Roman"/>
                <w:spacing w:val="-2"/>
              </w:rPr>
              <w:t>wielokryterialnej analizy decyzyjnej</w:t>
            </w:r>
            <w:r w:rsidR="00A73B29">
              <w:rPr>
                <w:rFonts w:ascii="Times New Roman" w:hAnsi="Times New Roman"/>
                <w:spacing w:val="-2"/>
              </w:rPr>
              <w:t xml:space="preserve">, </w:t>
            </w:r>
            <w:r w:rsidR="00A73B29" w:rsidRPr="002C3E88">
              <w:rPr>
                <w:rFonts w:ascii="Times" w:hAnsi="Times" w:cs="Arial"/>
                <w:bCs/>
                <w:color w:val="000000"/>
                <w:sz w:val="24"/>
                <w:szCs w:val="20"/>
              </w:rPr>
              <w:t>System</w:t>
            </w:r>
            <w:r w:rsidR="00A73B29">
              <w:rPr>
                <w:rFonts w:ascii="Times" w:hAnsi="Times" w:cs="Arial"/>
                <w:bCs/>
                <w:color w:val="000000"/>
                <w:sz w:val="24"/>
                <w:szCs w:val="20"/>
              </w:rPr>
              <w:t>u</w:t>
            </w:r>
            <w:r w:rsidR="00A73B29" w:rsidRPr="002C3E88">
              <w:rPr>
                <w:rFonts w:ascii="Times" w:hAnsi="Times" w:cs="Arial"/>
                <w:bCs/>
                <w:color w:val="000000"/>
                <w:sz w:val="24"/>
                <w:szCs w:val="20"/>
              </w:rPr>
              <w:t xml:space="preserve"> Wspomagania Decyzji w Polityce Lekowe</w:t>
            </w:r>
            <w:r w:rsidR="00A73B29" w:rsidRPr="006D7335">
              <w:rPr>
                <w:rFonts w:ascii="Times New Roman" w:hAnsi="Times New Roman"/>
                <w:spacing w:val="-2"/>
              </w:rPr>
              <w:t xml:space="preserve"> oraz Zintegrowanego Systemu Monitorowania Obrotu Produktami Leczniczymi w zakresie przygotowania systemu do realizacji zadań wskazanych w art. 34 ustawy refundacyjne</w:t>
            </w:r>
            <w:r w:rsidRPr="006D7335">
              <w:rPr>
                <w:rFonts w:ascii="Times New Roman" w:hAnsi="Times New Roman"/>
                <w:spacing w:val="-2"/>
              </w:rPr>
              <w:t>, które wejdą w życie z dniem 1 stycznia 2027 r.;</w:t>
            </w:r>
            <w:bookmarkEnd w:id="9"/>
          </w:p>
        </w:tc>
      </w:tr>
      <w:tr w:rsidR="00A52F5A" w:rsidRPr="0095120B" w14:paraId="5A97018D" w14:textId="77777777" w:rsidTr="004663A3">
        <w:trPr>
          <w:trHeight w:val="142"/>
        </w:trPr>
        <w:tc>
          <w:tcPr>
            <w:tcW w:w="10803" w:type="dxa"/>
            <w:gridSpan w:val="27"/>
            <w:shd w:val="clear" w:color="auto" w:fill="99CCFF"/>
          </w:tcPr>
          <w:p w14:paraId="07942D35" w14:textId="77777777" w:rsidR="00A52F5A" w:rsidRPr="0095120B" w:rsidRDefault="00A52F5A" w:rsidP="00A52F5A">
            <w:pPr>
              <w:numPr>
                <w:ilvl w:val="0"/>
                <w:numId w:val="1"/>
              </w:numPr>
              <w:spacing w:before="60" w:after="60" w:line="240" w:lineRule="auto"/>
              <w:ind w:left="318" w:hanging="284"/>
              <w:jc w:val="both"/>
              <w:rPr>
                <w:rFonts w:ascii="Times New Roman" w:hAnsi="Times New Roman"/>
                <w:b/>
              </w:rPr>
            </w:pPr>
            <w:r w:rsidRPr="0095120B">
              <w:rPr>
                <w:rFonts w:ascii="Times New Roman" w:hAnsi="Times New Roman"/>
                <w:b/>
              </w:rPr>
              <w:t xml:space="preserve"> </w:t>
            </w:r>
            <w:r w:rsidRPr="0095120B">
              <w:rPr>
                <w:rFonts w:ascii="Times New Roman" w:hAnsi="Times New Roman"/>
                <w:b/>
                <w:spacing w:val="-2"/>
                <w:sz w:val="21"/>
                <w:szCs w:val="21"/>
              </w:rPr>
              <w:t>W jaki sposób i kiedy nastąpi ewaluacja efektów projektu oraz jakie mierniki zostaną zastosowane?</w:t>
            </w:r>
          </w:p>
        </w:tc>
      </w:tr>
      <w:tr w:rsidR="00A52F5A" w:rsidRPr="0095120B" w14:paraId="0E030763" w14:textId="77777777" w:rsidTr="004663A3">
        <w:trPr>
          <w:trHeight w:val="142"/>
        </w:trPr>
        <w:tc>
          <w:tcPr>
            <w:tcW w:w="10803" w:type="dxa"/>
            <w:gridSpan w:val="27"/>
            <w:shd w:val="clear" w:color="auto" w:fill="FFFFFF"/>
          </w:tcPr>
          <w:p w14:paraId="79F3835A" w14:textId="19E067AE" w:rsidR="00A52F5A" w:rsidRPr="0095120B" w:rsidRDefault="00A52F5A" w:rsidP="00A52F5A">
            <w:pPr>
              <w:spacing w:line="240" w:lineRule="auto"/>
              <w:jc w:val="both"/>
              <w:rPr>
                <w:rFonts w:ascii="Times New Roman" w:hAnsi="Times New Roman"/>
                <w:spacing w:val="-2"/>
              </w:rPr>
            </w:pPr>
            <w:r w:rsidRPr="000D7C58">
              <w:rPr>
                <w:rFonts w:ascii="Times New Roman" w:hAnsi="Times New Roman"/>
                <w:spacing w:val="-2"/>
              </w:rPr>
              <w:t xml:space="preserve">Ewaluacja efektów projektu będzie możliwa po dwóch latach od jego wejścia w życie w oparciu o analizę obwieszczeń, o których mowa w art. 37 ustawy refundacyjnej oraz danych zbieranych w SOLR. Miernikiem skutków regulacji będzie zwiększenie skrócenie czasu prowadzenia postępowań, a przez to szybszą dostępność terapii dla pacjenta, zmniejszenie liczby leków wychodzących z systemu refundacji oraz zwiększenie liczby zrefundowanych leków z nową substancją czynną. Jeżeli okaże się, że proponowane zmiany nie przyniosą zakładanych efektów w postaci ułatwienia  wejścia do refundacji </w:t>
            </w:r>
            <w:proofErr w:type="spellStart"/>
            <w:r w:rsidRPr="000D7C58">
              <w:rPr>
                <w:rFonts w:ascii="Times New Roman" w:hAnsi="Times New Roman"/>
                <w:spacing w:val="-2"/>
              </w:rPr>
              <w:t>zgeneryzowanym</w:t>
            </w:r>
            <w:proofErr w:type="spellEnd"/>
            <w:r w:rsidRPr="000D7C58">
              <w:rPr>
                <w:rFonts w:ascii="Times New Roman" w:hAnsi="Times New Roman"/>
                <w:spacing w:val="-2"/>
              </w:rPr>
              <w:t xml:space="preserve"> lekom, a także technologią oczekiwanym przez pacjentów, które obecnie nie decydują się na składanie wniosków o refundację zasadnym będzie ich modyfikacja w taki sposób, aby osiągnąć wyznaczony, cel, którym jest zwiększanie zapewnienie dostępności produktów leczniczych dla pacjentów, m. in. w oparciu o informację ile decyzji zostało wydanych w ciągu wskazanych 2 lat od wejścia w życie  proponowanych przepisów korzystając z  regulacji wprowadzających przedmiotową nowelizacją.</w:t>
            </w:r>
          </w:p>
        </w:tc>
      </w:tr>
      <w:tr w:rsidR="00A52F5A" w:rsidRPr="0095120B" w14:paraId="029AE6B9" w14:textId="77777777" w:rsidTr="004663A3">
        <w:trPr>
          <w:trHeight w:val="142"/>
        </w:trPr>
        <w:tc>
          <w:tcPr>
            <w:tcW w:w="10803" w:type="dxa"/>
            <w:gridSpan w:val="27"/>
            <w:shd w:val="clear" w:color="auto" w:fill="99CCFF"/>
          </w:tcPr>
          <w:p w14:paraId="253F25D3" w14:textId="77777777" w:rsidR="00A52F5A" w:rsidRPr="0095120B" w:rsidRDefault="00A52F5A" w:rsidP="00A52F5A">
            <w:pPr>
              <w:numPr>
                <w:ilvl w:val="0"/>
                <w:numId w:val="1"/>
              </w:numPr>
              <w:spacing w:before="60" w:after="60" w:line="240" w:lineRule="auto"/>
              <w:ind w:left="318" w:hanging="284"/>
              <w:jc w:val="both"/>
              <w:rPr>
                <w:rFonts w:ascii="Times New Roman" w:hAnsi="Times New Roman"/>
                <w:b/>
                <w:spacing w:val="-2"/>
              </w:rPr>
            </w:pPr>
            <w:r w:rsidRPr="0095120B">
              <w:rPr>
                <w:rFonts w:ascii="Times New Roman" w:hAnsi="Times New Roman"/>
                <w:b/>
                <w:spacing w:val="-2"/>
              </w:rPr>
              <w:t xml:space="preserve">Załączniki </w:t>
            </w:r>
            <w:r w:rsidRPr="0095120B">
              <w:rPr>
                <w:rFonts w:ascii="Times New Roman" w:hAnsi="Times New Roman"/>
                <w:b/>
                <w:spacing w:val="-2"/>
                <w:sz w:val="21"/>
                <w:szCs w:val="21"/>
              </w:rPr>
              <w:t>(istotne dokumenty źródłowe, badania, analizy itp.</w:t>
            </w:r>
            <w:r w:rsidRPr="0095120B">
              <w:rPr>
                <w:rFonts w:ascii="Times New Roman" w:hAnsi="Times New Roman"/>
                <w:b/>
                <w:spacing w:val="-2"/>
              </w:rPr>
              <w:t xml:space="preserve">) </w:t>
            </w:r>
          </w:p>
        </w:tc>
      </w:tr>
      <w:tr w:rsidR="00A52F5A" w:rsidRPr="0095120B" w14:paraId="0E6D8023" w14:textId="77777777" w:rsidTr="004663A3">
        <w:trPr>
          <w:trHeight w:val="142"/>
        </w:trPr>
        <w:tc>
          <w:tcPr>
            <w:tcW w:w="10803" w:type="dxa"/>
            <w:gridSpan w:val="27"/>
            <w:shd w:val="clear" w:color="auto" w:fill="FFFFFF"/>
          </w:tcPr>
          <w:p w14:paraId="75C7D619" w14:textId="54E49BDE" w:rsidR="00A52F5A" w:rsidRPr="0095120B" w:rsidRDefault="0080769F" w:rsidP="00A52F5A">
            <w:pPr>
              <w:spacing w:line="240" w:lineRule="auto"/>
              <w:jc w:val="both"/>
              <w:rPr>
                <w:rFonts w:ascii="Times New Roman" w:hAnsi="Times New Roman"/>
                <w:spacing w:val="-2"/>
              </w:rPr>
            </w:pPr>
            <w:r w:rsidRPr="0080769F">
              <w:rPr>
                <w:rFonts w:ascii="Times New Roman" w:hAnsi="Times New Roman"/>
                <w:spacing w:val="-2"/>
              </w:rPr>
              <w:t xml:space="preserve">Koszty </w:t>
            </w:r>
            <w:r w:rsidR="007769AD">
              <w:rPr>
                <w:rFonts w:ascii="Times New Roman" w:hAnsi="Times New Roman"/>
                <w:spacing w:val="-2"/>
              </w:rPr>
              <w:t>dla</w:t>
            </w:r>
            <w:r w:rsidRPr="0080769F">
              <w:rPr>
                <w:rFonts w:ascii="Times New Roman" w:hAnsi="Times New Roman"/>
                <w:spacing w:val="-2"/>
              </w:rPr>
              <w:t xml:space="preserve"> systemów teleinformatycznych</w:t>
            </w:r>
          </w:p>
        </w:tc>
      </w:tr>
    </w:tbl>
    <w:p w14:paraId="4578B212" w14:textId="77777777" w:rsidR="002B13FF" w:rsidRPr="006D7335" w:rsidRDefault="002B13FF" w:rsidP="003F6220">
      <w:pPr>
        <w:pStyle w:val="Nagwek1"/>
      </w:pPr>
    </w:p>
    <w:sectPr w:rsidR="002B13FF" w:rsidRPr="006D7335" w:rsidSect="00770ACF">
      <w:footerReference w:type="default" r:id="rId12"/>
      <w:pgSz w:w="11906" w:h="16838"/>
      <w:pgMar w:top="568" w:right="707" w:bottom="568" w:left="720"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0ED3" w14:textId="77777777" w:rsidR="00827B71" w:rsidRDefault="00827B71" w:rsidP="00770ACF">
      <w:pPr>
        <w:spacing w:line="240" w:lineRule="auto"/>
      </w:pPr>
      <w:r>
        <w:separator/>
      </w:r>
    </w:p>
  </w:endnote>
  <w:endnote w:type="continuationSeparator" w:id="0">
    <w:p w14:paraId="03B77B69" w14:textId="77777777" w:rsidR="00827B71" w:rsidRDefault="00827B71" w:rsidP="00770ACF">
      <w:pPr>
        <w:spacing w:line="240" w:lineRule="auto"/>
      </w:pPr>
      <w:r>
        <w:continuationSeparator/>
      </w:r>
    </w:p>
  </w:endnote>
  <w:endnote w:type="continuationNotice" w:id="1">
    <w:p w14:paraId="5478186C" w14:textId="77777777" w:rsidR="00827B71" w:rsidRDefault="00827B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63472"/>
      <w:docPartObj>
        <w:docPartGallery w:val="Page Numbers (Bottom of Page)"/>
        <w:docPartUnique/>
      </w:docPartObj>
    </w:sdtPr>
    <w:sdtEndPr>
      <w:rPr>
        <w:rFonts w:ascii="Times New Roman" w:hAnsi="Times New Roman"/>
        <w:sz w:val="22"/>
        <w:szCs w:val="22"/>
      </w:rPr>
    </w:sdtEndPr>
    <w:sdtContent>
      <w:p w14:paraId="3E3E897C" w14:textId="41C5A7C6" w:rsidR="00770ACF" w:rsidRPr="00770ACF" w:rsidRDefault="00770ACF">
        <w:pPr>
          <w:pStyle w:val="Stopka"/>
          <w:jc w:val="center"/>
          <w:rPr>
            <w:rFonts w:ascii="Times New Roman" w:hAnsi="Times New Roman"/>
            <w:sz w:val="22"/>
            <w:szCs w:val="22"/>
          </w:rPr>
        </w:pPr>
        <w:r w:rsidRPr="00770ACF">
          <w:rPr>
            <w:rFonts w:ascii="Times New Roman" w:hAnsi="Times New Roman"/>
            <w:sz w:val="22"/>
            <w:szCs w:val="22"/>
          </w:rPr>
          <w:fldChar w:fldCharType="begin"/>
        </w:r>
        <w:r w:rsidRPr="00770ACF">
          <w:rPr>
            <w:rFonts w:ascii="Times New Roman" w:hAnsi="Times New Roman"/>
            <w:sz w:val="22"/>
            <w:szCs w:val="22"/>
          </w:rPr>
          <w:instrText>PAGE   \* MERGEFORMAT</w:instrText>
        </w:r>
        <w:r w:rsidRPr="00770ACF">
          <w:rPr>
            <w:rFonts w:ascii="Times New Roman" w:hAnsi="Times New Roman"/>
            <w:sz w:val="22"/>
            <w:szCs w:val="22"/>
          </w:rPr>
          <w:fldChar w:fldCharType="separate"/>
        </w:r>
        <w:r w:rsidR="00CE0276">
          <w:rPr>
            <w:rFonts w:ascii="Times New Roman" w:hAnsi="Times New Roman"/>
            <w:noProof/>
            <w:sz w:val="22"/>
            <w:szCs w:val="22"/>
          </w:rPr>
          <w:t>11</w:t>
        </w:r>
        <w:r w:rsidRPr="00770ACF">
          <w:rPr>
            <w:rFonts w:ascii="Times New Roman" w:hAnsi="Times New Roman"/>
            <w:sz w:val="22"/>
            <w:szCs w:val="22"/>
          </w:rPr>
          <w:fldChar w:fldCharType="end"/>
        </w:r>
      </w:p>
    </w:sdtContent>
  </w:sdt>
  <w:p w14:paraId="69B65777" w14:textId="77777777" w:rsidR="00770ACF" w:rsidRDefault="00770ACF">
    <w:pPr>
      <w:pStyle w:val="Stopka"/>
    </w:pPr>
  </w:p>
  <w:p w14:paraId="6F1326CC" w14:textId="77777777" w:rsidR="00A320D2" w:rsidRDefault="00A320D2"/>
  <w:p w14:paraId="505AD878" w14:textId="77777777" w:rsidR="00A320D2" w:rsidRDefault="00A320D2"/>
  <w:p w14:paraId="2F8954AD" w14:textId="77777777" w:rsidR="00A320D2" w:rsidRDefault="00A32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1D93" w14:textId="77777777" w:rsidR="00827B71" w:rsidRDefault="00827B71" w:rsidP="00770ACF">
      <w:pPr>
        <w:spacing w:line="240" w:lineRule="auto"/>
      </w:pPr>
      <w:r>
        <w:separator/>
      </w:r>
    </w:p>
  </w:footnote>
  <w:footnote w:type="continuationSeparator" w:id="0">
    <w:p w14:paraId="4028F670" w14:textId="77777777" w:rsidR="00827B71" w:rsidRDefault="00827B71" w:rsidP="00770ACF">
      <w:pPr>
        <w:spacing w:line="240" w:lineRule="auto"/>
      </w:pPr>
      <w:r>
        <w:continuationSeparator/>
      </w:r>
    </w:p>
  </w:footnote>
  <w:footnote w:type="continuationNotice" w:id="1">
    <w:p w14:paraId="0333A728" w14:textId="77777777" w:rsidR="00827B71" w:rsidRDefault="00827B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D3D"/>
    <w:multiLevelType w:val="hybridMultilevel"/>
    <w:tmpl w:val="1A94ED42"/>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D201E"/>
    <w:multiLevelType w:val="hybridMultilevel"/>
    <w:tmpl w:val="A19C501E"/>
    <w:lvl w:ilvl="0" w:tplc="A952351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81C94"/>
    <w:multiLevelType w:val="multilevel"/>
    <w:tmpl w:val="B972CB6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5F12BE5"/>
    <w:multiLevelType w:val="multilevel"/>
    <w:tmpl w:val="855E0F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B1D4A"/>
    <w:multiLevelType w:val="hybridMultilevel"/>
    <w:tmpl w:val="C0BEBE9A"/>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C47271E"/>
    <w:multiLevelType w:val="hybridMultilevel"/>
    <w:tmpl w:val="015EB932"/>
    <w:lvl w:ilvl="0" w:tplc="33D4997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0A3EF4"/>
    <w:multiLevelType w:val="hybridMultilevel"/>
    <w:tmpl w:val="EE560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F61EDA"/>
    <w:multiLevelType w:val="hybridMultilevel"/>
    <w:tmpl w:val="52D4F87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F94DC2"/>
    <w:multiLevelType w:val="hybridMultilevel"/>
    <w:tmpl w:val="2B3CF468"/>
    <w:lvl w:ilvl="0" w:tplc="FFFFFFFF">
      <w:start w:val="1"/>
      <w:numFmt w:val="decimal"/>
      <w:lvlText w:val="%1)"/>
      <w:lvlJc w:val="left"/>
      <w:pPr>
        <w:ind w:left="720" w:hanging="360"/>
      </w:pPr>
    </w:lvl>
    <w:lvl w:ilvl="1" w:tplc="04150017">
      <w:start w:val="1"/>
      <w:numFmt w:val="lowerLetter"/>
      <w:lvlText w:val="%2)"/>
      <w:lvlJc w:val="left"/>
      <w:pPr>
        <w:ind w:left="177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C2153"/>
    <w:multiLevelType w:val="hybridMultilevel"/>
    <w:tmpl w:val="697AE49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9CB36C8"/>
    <w:multiLevelType w:val="hybridMultilevel"/>
    <w:tmpl w:val="E702F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8C2EF8"/>
    <w:multiLevelType w:val="multilevel"/>
    <w:tmpl w:val="49747E74"/>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1BE54CEC"/>
    <w:multiLevelType w:val="multilevel"/>
    <w:tmpl w:val="48BE26FA"/>
    <w:lvl w:ilvl="0">
      <w:start w:val="1"/>
      <w:numFmt w:val="lowerLetter"/>
      <w:lvlText w:val="%1)"/>
      <w:lvlJc w:val="left"/>
      <w:pPr>
        <w:ind w:left="2160" w:hanging="360"/>
      </w:p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1C2865CC"/>
    <w:multiLevelType w:val="hybridMultilevel"/>
    <w:tmpl w:val="AC724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AA6087"/>
    <w:multiLevelType w:val="hybridMultilevel"/>
    <w:tmpl w:val="9FF64E16"/>
    <w:lvl w:ilvl="0" w:tplc="FFFFFFFF">
      <w:start w:val="1"/>
      <w:numFmt w:val="decimal"/>
      <w:lvlText w:val="%1."/>
      <w:lvlJc w:val="left"/>
      <w:pPr>
        <w:ind w:left="720" w:hanging="360"/>
      </w:pPr>
      <w:rPr>
        <w:b/>
      </w:rPr>
    </w:lvl>
    <w:lvl w:ilvl="1" w:tplc="04150017">
      <w:start w:val="1"/>
      <w:numFmt w:val="lowerLetter"/>
      <w:lvlText w:val="%2)"/>
      <w:lvlJc w:val="left"/>
      <w:pPr>
        <w:ind w:left="1778"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E037DCD"/>
    <w:multiLevelType w:val="hybridMultilevel"/>
    <w:tmpl w:val="C96A5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9271AB"/>
    <w:multiLevelType w:val="hybridMultilevel"/>
    <w:tmpl w:val="3BC095E8"/>
    <w:lvl w:ilvl="0" w:tplc="C0F4E48C">
      <w:start w:val="1"/>
      <w:numFmt w:val="decimal"/>
      <w:lvlText w:val="%1)"/>
      <w:lvlJc w:val="left"/>
      <w:pPr>
        <w:ind w:left="720" w:hanging="360"/>
      </w:pPr>
      <w:rPr>
        <w:rFonts w:hint="default"/>
      </w:rPr>
    </w:lvl>
    <w:lvl w:ilvl="1" w:tplc="FFFFFFFF">
      <w:start w:val="1"/>
      <w:numFmt w:val="lowerLetter"/>
      <w:lvlText w:val="%2."/>
      <w:lvlJc w:val="left"/>
      <w:pPr>
        <w:ind w:left="177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762428"/>
    <w:multiLevelType w:val="multilevel"/>
    <w:tmpl w:val="8F40186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29D16236"/>
    <w:multiLevelType w:val="hybridMultilevel"/>
    <w:tmpl w:val="A19C5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704193"/>
    <w:multiLevelType w:val="hybridMultilevel"/>
    <w:tmpl w:val="D668F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911783"/>
    <w:multiLevelType w:val="hybridMultilevel"/>
    <w:tmpl w:val="0BB47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DF0AD3"/>
    <w:multiLevelType w:val="multilevel"/>
    <w:tmpl w:val="EBF813F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2F3120C9"/>
    <w:multiLevelType w:val="multilevel"/>
    <w:tmpl w:val="D258F89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2FD65196"/>
    <w:multiLevelType w:val="hybridMultilevel"/>
    <w:tmpl w:val="0BB47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F738EE"/>
    <w:multiLevelType w:val="hybridMultilevel"/>
    <w:tmpl w:val="792C2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7F73A0"/>
    <w:multiLevelType w:val="multilevel"/>
    <w:tmpl w:val="1A103D8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1945D7"/>
    <w:multiLevelType w:val="hybridMultilevel"/>
    <w:tmpl w:val="3C5CE63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3D187057"/>
    <w:multiLevelType w:val="hybridMultilevel"/>
    <w:tmpl w:val="1E703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3F4FCB"/>
    <w:multiLevelType w:val="hybridMultilevel"/>
    <w:tmpl w:val="9314DB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172FEF"/>
    <w:multiLevelType w:val="hybridMultilevel"/>
    <w:tmpl w:val="64A23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F126B2"/>
    <w:multiLevelType w:val="hybridMultilevel"/>
    <w:tmpl w:val="5956C19A"/>
    <w:lvl w:ilvl="0" w:tplc="12689C7A">
      <w:start w:val="1"/>
      <w:numFmt w:val="bullet"/>
      <w:lvlText w:val=""/>
      <w:lvlJc w:val="left"/>
      <w:pPr>
        <w:ind w:left="1093" w:hanging="360"/>
      </w:pPr>
      <w:rPr>
        <w:rFonts w:ascii="Symbol" w:hAnsi="Symbol" w:hint="default"/>
      </w:rPr>
    </w:lvl>
    <w:lvl w:ilvl="1" w:tplc="04150003">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32" w15:restartNumberingAfterBreak="0">
    <w:nsid w:val="4504696A"/>
    <w:multiLevelType w:val="hybridMultilevel"/>
    <w:tmpl w:val="A8764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CD7FAA"/>
    <w:multiLevelType w:val="hybridMultilevel"/>
    <w:tmpl w:val="BCF46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B63C18"/>
    <w:multiLevelType w:val="hybridMultilevel"/>
    <w:tmpl w:val="4C62AF8C"/>
    <w:lvl w:ilvl="0" w:tplc="9A44A75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DEF7D13"/>
    <w:multiLevelType w:val="hybridMultilevel"/>
    <w:tmpl w:val="0BB47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2F4071"/>
    <w:multiLevelType w:val="hybridMultilevel"/>
    <w:tmpl w:val="FFF29CC6"/>
    <w:lvl w:ilvl="0" w:tplc="C0F4E4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00431A"/>
    <w:multiLevelType w:val="hybridMultilevel"/>
    <w:tmpl w:val="691EFBF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664319"/>
    <w:multiLevelType w:val="hybridMultilevel"/>
    <w:tmpl w:val="C1D0E4D8"/>
    <w:lvl w:ilvl="0" w:tplc="CE564E1E">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39" w15:restartNumberingAfterBreak="0">
    <w:nsid w:val="5940449E"/>
    <w:multiLevelType w:val="hybridMultilevel"/>
    <w:tmpl w:val="F52E6AEA"/>
    <w:lvl w:ilvl="0" w:tplc="16A897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5B994C8B"/>
    <w:multiLevelType w:val="hybridMultilevel"/>
    <w:tmpl w:val="8FBE1870"/>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5C7669B2"/>
    <w:multiLevelType w:val="multilevel"/>
    <w:tmpl w:val="48BE26FA"/>
    <w:lvl w:ilvl="0">
      <w:start w:val="1"/>
      <w:numFmt w:val="lowerLetter"/>
      <w:lvlText w:val="%1)"/>
      <w:lvlJc w:val="left"/>
      <w:pPr>
        <w:ind w:left="2160" w:hanging="360"/>
      </w:p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43" w15:restartNumberingAfterBreak="0">
    <w:nsid w:val="607405D1"/>
    <w:multiLevelType w:val="hybridMultilevel"/>
    <w:tmpl w:val="695A36EE"/>
    <w:lvl w:ilvl="0" w:tplc="05FC15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8A955E8"/>
    <w:multiLevelType w:val="hybridMultilevel"/>
    <w:tmpl w:val="CA10787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426665"/>
    <w:multiLevelType w:val="hybridMultilevel"/>
    <w:tmpl w:val="1F24E9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3307AB"/>
    <w:multiLevelType w:val="hybridMultilevel"/>
    <w:tmpl w:val="6BF045C2"/>
    <w:lvl w:ilvl="0" w:tplc="FFFFFFFF">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A5B7BF1"/>
    <w:multiLevelType w:val="hybridMultilevel"/>
    <w:tmpl w:val="A998B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8A7B7F"/>
    <w:multiLevelType w:val="multilevel"/>
    <w:tmpl w:val="0D5256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75453B9E"/>
    <w:multiLevelType w:val="hybridMultilevel"/>
    <w:tmpl w:val="23725576"/>
    <w:lvl w:ilvl="0" w:tplc="FFFFFFFF">
      <w:start w:val="1"/>
      <w:numFmt w:val="decimal"/>
      <w:lvlText w:val="%1)"/>
      <w:lvlJc w:val="left"/>
      <w:pPr>
        <w:ind w:left="720" w:hanging="360"/>
      </w:pPr>
    </w:lvl>
    <w:lvl w:ilvl="1" w:tplc="04150017">
      <w:start w:val="1"/>
      <w:numFmt w:val="lowerLetter"/>
      <w:lvlText w:val="%2)"/>
      <w:lvlJc w:val="left"/>
      <w:pPr>
        <w:ind w:left="177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FA3D52"/>
    <w:multiLevelType w:val="hybridMultilevel"/>
    <w:tmpl w:val="FD5EA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7068EE"/>
    <w:multiLevelType w:val="hybridMultilevel"/>
    <w:tmpl w:val="EC54D1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C47619"/>
    <w:multiLevelType w:val="hybridMultilevel"/>
    <w:tmpl w:val="BA3E9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F309F6"/>
    <w:multiLevelType w:val="hybridMultilevel"/>
    <w:tmpl w:val="9970D2F4"/>
    <w:lvl w:ilvl="0" w:tplc="12689C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B025107"/>
    <w:multiLevelType w:val="multilevel"/>
    <w:tmpl w:val="60E21FC8"/>
    <w:lvl w:ilvl="0">
      <w:start w:val="1"/>
      <w:numFmt w:val="upp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5" w15:restartNumberingAfterBreak="0">
    <w:nsid w:val="7BE55E59"/>
    <w:multiLevelType w:val="multilevel"/>
    <w:tmpl w:val="860E4BE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6" w15:restartNumberingAfterBreak="0">
    <w:nsid w:val="7EF008AE"/>
    <w:multiLevelType w:val="multilevel"/>
    <w:tmpl w:val="60E8002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7" w15:restartNumberingAfterBreak="0">
    <w:nsid w:val="7F7E5785"/>
    <w:multiLevelType w:val="hybridMultilevel"/>
    <w:tmpl w:val="F184EA4A"/>
    <w:lvl w:ilvl="0" w:tplc="04150011">
      <w:start w:val="1"/>
      <w:numFmt w:val="decimal"/>
      <w:lvlText w:val="%1)"/>
      <w:lvlJc w:val="left"/>
      <w:pPr>
        <w:ind w:left="720" w:hanging="360"/>
      </w:pPr>
    </w:lvl>
    <w:lvl w:ilvl="1" w:tplc="04150017">
      <w:start w:val="1"/>
      <w:numFmt w:val="lowerLetter"/>
      <w:lvlText w:val="%2)"/>
      <w:lvlJc w:val="left"/>
      <w:pPr>
        <w:ind w:left="177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1970012">
    <w:abstractNumId w:val="26"/>
  </w:num>
  <w:num w:numId="2" w16cid:durableId="208611126">
    <w:abstractNumId w:val="53"/>
  </w:num>
  <w:num w:numId="3" w16cid:durableId="2147157778">
    <w:abstractNumId w:val="10"/>
  </w:num>
  <w:num w:numId="4" w16cid:durableId="216013530">
    <w:abstractNumId w:val="31"/>
  </w:num>
  <w:num w:numId="5" w16cid:durableId="705525529">
    <w:abstractNumId w:val="11"/>
  </w:num>
  <w:num w:numId="6" w16cid:durableId="827601678">
    <w:abstractNumId w:val="47"/>
  </w:num>
  <w:num w:numId="7" w16cid:durableId="1133594074">
    <w:abstractNumId w:val="36"/>
  </w:num>
  <w:num w:numId="8" w16cid:durableId="931935301">
    <w:abstractNumId w:val="50"/>
  </w:num>
  <w:num w:numId="9" w16cid:durableId="467816788">
    <w:abstractNumId w:val="5"/>
  </w:num>
  <w:num w:numId="10" w16cid:durableId="1553231560">
    <w:abstractNumId w:val="29"/>
  </w:num>
  <w:num w:numId="11" w16cid:durableId="2063823032">
    <w:abstractNumId w:val="3"/>
  </w:num>
  <w:num w:numId="12" w16cid:durableId="848521309">
    <w:abstractNumId w:val="7"/>
  </w:num>
  <w:num w:numId="13" w16cid:durableId="1406797944">
    <w:abstractNumId w:val="39"/>
  </w:num>
  <w:num w:numId="14" w16cid:durableId="223613959">
    <w:abstractNumId w:val="52"/>
  </w:num>
  <w:num w:numId="15" w16cid:durableId="735471331">
    <w:abstractNumId w:val="51"/>
  </w:num>
  <w:num w:numId="16" w16cid:durableId="1660767519">
    <w:abstractNumId w:val="45"/>
  </w:num>
  <w:num w:numId="17" w16cid:durableId="87119188">
    <w:abstractNumId w:val="54"/>
  </w:num>
  <w:num w:numId="18" w16cid:durableId="2036269599">
    <w:abstractNumId w:val="21"/>
  </w:num>
  <w:num w:numId="19" w16cid:durableId="584337062">
    <w:abstractNumId w:val="56"/>
  </w:num>
  <w:num w:numId="20" w16cid:durableId="1692681696">
    <w:abstractNumId w:val="2"/>
  </w:num>
  <w:num w:numId="21" w16cid:durableId="1487014052">
    <w:abstractNumId w:val="48"/>
  </w:num>
  <w:num w:numId="22" w16cid:durableId="1145662914">
    <w:abstractNumId w:val="55"/>
  </w:num>
  <w:num w:numId="23" w16cid:durableId="1173912646">
    <w:abstractNumId w:val="17"/>
  </w:num>
  <w:num w:numId="24" w16cid:durableId="1600288680">
    <w:abstractNumId w:val="25"/>
  </w:num>
  <w:num w:numId="25" w16cid:durableId="1268732816">
    <w:abstractNumId w:val="22"/>
  </w:num>
  <w:num w:numId="26" w16cid:durableId="1794250713">
    <w:abstractNumId w:val="42"/>
  </w:num>
  <w:num w:numId="27" w16cid:durableId="2046051880">
    <w:abstractNumId w:val="37"/>
  </w:num>
  <w:num w:numId="28" w16cid:durableId="734856127">
    <w:abstractNumId w:val="13"/>
  </w:num>
  <w:num w:numId="29" w16cid:durableId="2005545381">
    <w:abstractNumId w:val="28"/>
  </w:num>
  <w:num w:numId="30" w16cid:durableId="182941445">
    <w:abstractNumId w:val="23"/>
  </w:num>
  <w:num w:numId="31" w16cid:durableId="161357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4426689">
    <w:abstractNumId w:val="34"/>
  </w:num>
  <w:num w:numId="33" w16cid:durableId="1881018295">
    <w:abstractNumId w:val="12"/>
  </w:num>
  <w:num w:numId="34" w16cid:durableId="89813397">
    <w:abstractNumId w:val="40"/>
  </w:num>
  <w:num w:numId="35" w16cid:durableId="1845821457">
    <w:abstractNumId w:val="24"/>
  </w:num>
  <w:num w:numId="36" w16cid:durableId="1654603333">
    <w:abstractNumId w:val="15"/>
  </w:num>
  <w:num w:numId="37" w16cid:durableId="1177580991">
    <w:abstractNumId w:val="57"/>
  </w:num>
  <w:num w:numId="38" w16cid:durableId="1610240557">
    <w:abstractNumId w:val="1"/>
  </w:num>
  <w:num w:numId="39" w16cid:durableId="767964610">
    <w:abstractNumId w:val="0"/>
  </w:num>
  <w:num w:numId="40" w16cid:durableId="1870101659">
    <w:abstractNumId w:val="49"/>
  </w:num>
  <w:num w:numId="41" w16cid:durableId="1429348797">
    <w:abstractNumId w:val="8"/>
  </w:num>
  <w:num w:numId="42" w16cid:durableId="1806583450">
    <w:abstractNumId w:val="14"/>
  </w:num>
  <w:num w:numId="43" w16cid:durableId="1847817861">
    <w:abstractNumId w:val="16"/>
  </w:num>
  <w:num w:numId="44" w16cid:durableId="1790852018">
    <w:abstractNumId w:val="33"/>
  </w:num>
  <w:num w:numId="45" w16cid:durableId="228200031">
    <w:abstractNumId w:val="43"/>
  </w:num>
  <w:num w:numId="46" w16cid:durableId="1745033896">
    <w:abstractNumId w:val="44"/>
  </w:num>
  <w:num w:numId="47" w16cid:durableId="604770997">
    <w:abstractNumId w:val="38"/>
  </w:num>
  <w:num w:numId="48" w16cid:durableId="857093">
    <w:abstractNumId w:val="19"/>
  </w:num>
  <w:num w:numId="49" w16cid:durableId="1455901448">
    <w:abstractNumId w:val="30"/>
  </w:num>
  <w:num w:numId="50" w16cid:durableId="295373762">
    <w:abstractNumId w:val="32"/>
  </w:num>
  <w:num w:numId="51" w16cid:durableId="2050377206">
    <w:abstractNumId w:val="18"/>
  </w:num>
  <w:num w:numId="52" w16cid:durableId="2017151940">
    <w:abstractNumId w:val="46"/>
  </w:num>
  <w:num w:numId="53" w16cid:durableId="2066104834">
    <w:abstractNumId w:val="4"/>
  </w:num>
  <w:num w:numId="54" w16cid:durableId="510071707">
    <w:abstractNumId w:val="41"/>
  </w:num>
  <w:num w:numId="55" w16cid:durableId="1652825751">
    <w:abstractNumId w:val="27"/>
  </w:num>
  <w:num w:numId="56" w16cid:durableId="147333632">
    <w:abstractNumId w:val="9"/>
  </w:num>
  <w:num w:numId="57" w16cid:durableId="614289312">
    <w:abstractNumId w:val="20"/>
  </w:num>
  <w:num w:numId="58" w16cid:durableId="526144986">
    <w:abstractNumId w:val="35"/>
  </w:num>
  <w:num w:numId="59" w16cid:durableId="126911667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C8"/>
    <w:rsid w:val="000000B6"/>
    <w:rsid w:val="00001751"/>
    <w:rsid w:val="000020CD"/>
    <w:rsid w:val="000041D8"/>
    <w:rsid w:val="00005068"/>
    <w:rsid w:val="0000750E"/>
    <w:rsid w:val="00013C32"/>
    <w:rsid w:val="00013F40"/>
    <w:rsid w:val="00016826"/>
    <w:rsid w:val="00020BD3"/>
    <w:rsid w:val="0002183C"/>
    <w:rsid w:val="00022B9D"/>
    <w:rsid w:val="00022CD4"/>
    <w:rsid w:val="000307CA"/>
    <w:rsid w:val="00033583"/>
    <w:rsid w:val="00034127"/>
    <w:rsid w:val="0004006C"/>
    <w:rsid w:val="00041B76"/>
    <w:rsid w:val="00054305"/>
    <w:rsid w:val="000549CF"/>
    <w:rsid w:val="000561A1"/>
    <w:rsid w:val="00057A7B"/>
    <w:rsid w:val="00060314"/>
    <w:rsid w:val="00060387"/>
    <w:rsid w:val="000611C1"/>
    <w:rsid w:val="00063AB7"/>
    <w:rsid w:val="00063E05"/>
    <w:rsid w:val="00064CB1"/>
    <w:rsid w:val="00067CCE"/>
    <w:rsid w:val="00070194"/>
    <w:rsid w:val="0007397B"/>
    <w:rsid w:val="000746C0"/>
    <w:rsid w:val="00083D32"/>
    <w:rsid w:val="0008401B"/>
    <w:rsid w:val="0008538D"/>
    <w:rsid w:val="0008737A"/>
    <w:rsid w:val="000908C8"/>
    <w:rsid w:val="00093678"/>
    <w:rsid w:val="00093A5E"/>
    <w:rsid w:val="00096569"/>
    <w:rsid w:val="000A0559"/>
    <w:rsid w:val="000A2F12"/>
    <w:rsid w:val="000A346E"/>
    <w:rsid w:val="000A4C0F"/>
    <w:rsid w:val="000A7859"/>
    <w:rsid w:val="000B46F2"/>
    <w:rsid w:val="000B6560"/>
    <w:rsid w:val="000B7160"/>
    <w:rsid w:val="000B7507"/>
    <w:rsid w:val="000C2763"/>
    <w:rsid w:val="000C633B"/>
    <w:rsid w:val="000C6DDD"/>
    <w:rsid w:val="000D2AC6"/>
    <w:rsid w:val="000D357A"/>
    <w:rsid w:val="000D7C58"/>
    <w:rsid w:val="000E07A1"/>
    <w:rsid w:val="000E1F39"/>
    <w:rsid w:val="000E2A17"/>
    <w:rsid w:val="000E2F1D"/>
    <w:rsid w:val="000E5A66"/>
    <w:rsid w:val="000E7A2B"/>
    <w:rsid w:val="000F0A62"/>
    <w:rsid w:val="000F4F8D"/>
    <w:rsid w:val="000F52A2"/>
    <w:rsid w:val="000F57B5"/>
    <w:rsid w:val="000F7FDD"/>
    <w:rsid w:val="001010AE"/>
    <w:rsid w:val="00103C3B"/>
    <w:rsid w:val="00106348"/>
    <w:rsid w:val="00107E59"/>
    <w:rsid w:val="00111379"/>
    <w:rsid w:val="00114040"/>
    <w:rsid w:val="001154D0"/>
    <w:rsid w:val="00115EF8"/>
    <w:rsid w:val="00117607"/>
    <w:rsid w:val="0012032E"/>
    <w:rsid w:val="00120AF3"/>
    <w:rsid w:val="00122371"/>
    <w:rsid w:val="0012294C"/>
    <w:rsid w:val="00122C02"/>
    <w:rsid w:val="00123507"/>
    <w:rsid w:val="00123885"/>
    <w:rsid w:val="00124A97"/>
    <w:rsid w:val="00126476"/>
    <w:rsid w:val="001302DB"/>
    <w:rsid w:val="00130DE9"/>
    <w:rsid w:val="00133EA7"/>
    <w:rsid w:val="00134DE4"/>
    <w:rsid w:val="00134F22"/>
    <w:rsid w:val="00136365"/>
    <w:rsid w:val="00137749"/>
    <w:rsid w:val="001406E1"/>
    <w:rsid w:val="0014132E"/>
    <w:rsid w:val="001443C9"/>
    <w:rsid w:val="00146702"/>
    <w:rsid w:val="001467D1"/>
    <w:rsid w:val="00146AD1"/>
    <w:rsid w:val="00150FC7"/>
    <w:rsid w:val="00152685"/>
    <w:rsid w:val="00154E4A"/>
    <w:rsid w:val="00156313"/>
    <w:rsid w:val="001565E9"/>
    <w:rsid w:val="00161A22"/>
    <w:rsid w:val="001644D8"/>
    <w:rsid w:val="00167446"/>
    <w:rsid w:val="00170533"/>
    <w:rsid w:val="001717DE"/>
    <w:rsid w:val="00171885"/>
    <w:rsid w:val="00174ADD"/>
    <w:rsid w:val="00175DB2"/>
    <w:rsid w:val="001763CA"/>
    <w:rsid w:val="0018106C"/>
    <w:rsid w:val="00181142"/>
    <w:rsid w:val="00182448"/>
    <w:rsid w:val="00182B5A"/>
    <w:rsid w:val="00182CB2"/>
    <w:rsid w:val="00183540"/>
    <w:rsid w:val="00183B42"/>
    <w:rsid w:val="0019086E"/>
    <w:rsid w:val="00191039"/>
    <w:rsid w:val="001963C6"/>
    <w:rsid w:val="0019689E"/>
    <w:rsid w:val="001969E6"/>
    <w:rsid w:val="001971B2"/>
    <w:rsid w:val="001976A3"/>
    <w:rsid w:val="00197A02"/>
    <w:rsid w:val="001A4811"/>
    <w:rsid w:val="001A59AA"/>
    <w:rsid w:val="001A5A6C"/>
    <w:rsid w:val="001B3E79"/>
    <w:rsid w:val="001B4304"/>
    <w:rsid w:val="001C2A0F"/>
    <w:rsid w:val="001C34B8"/>
    <w:rsid w:val="001C493E"/>
    <w:rsid w:val="001C5C9F"/>
    <w:rsid w:val="001C7F28"/>
    <w:rsid w:val="001D32A4"/>
    <w:rsid w:val="001E5552"/>
    <w:rsid w:val="001F202F"/>
    <w:rsid w:val="001F38FB"/>
    <w:rsid w:val="001F444E"/>
    <w:rsid w:val="001F4639"/>
    <w:rsid w:val="001F7A1D"/>
    <w:rsid w:val="002007DD"/>
    <w:rsid w:val="00203D08"/>
    <w:rsid w:val="00203D37"/>
    <w:rsid w:val="002052CB"/>
    <w:rsid w:val="0020628A"/>
    <w:rsid w:val="002101AF"/>
    <w:rsid w:val="002136A5"/>
    <w:rsid w:val="002170FD"/>
    <w:rsid w:val="00217871"/>
    <w:rsid w:val="0022182B"/>
    <w:rsid w:val="002226A0"/>
    <w:rsid w:val="0022641B"/>
    <w:rsid w:val="0022778F"/>
    <w:rsid w:val="00227BEB"/>
    <w:rsid w:val="00227CA5"/>
    <w:rsid w:val="00227E08"/>
    <w:rsid w:val="0023077C"/>
    <w:rsid w:val="00230F31"/>
    <w:rsid w:val="00232B06"/>
    <w:rsid w:val="00233DAE"/>
    <w:rsid w:val="0023410D"/>
    <w:rsid w:val="00235A15"/>
    <w:rsid w:val="00236C6B"/>
    <w:rsid w:val="00240981"/>
    <w:rsid w:val="00243E68"/>
    <w:rsid w:val="00244469"/>
    <w:rsid w:val="0024528B"/>
    <w:rsid w:val="002463BB"/>
    <w:rsid w:val="0024781E"/>
    <w:rsid w:val="00250ECA"/>
    <w:rsid w:val="00251458"/>
    <w:rsid w:val="00254C29"/>
    <w:rsid w:val="00260400"/>
    <w:rsid w:val="0026059F"/>
    <w:rsid w:val="00261476"/>
    <w:rsid w:val="002650B9"/>
    <w:rsid w:val="00265E49"/>
    <w:rsid w:val="00266156"/>
    <w:rsid w:val="002667A6"/>
    <w:rsid w:val="00270CF5"/>
    <w:rsid w:val="0027652A"/>
    <w:rsid w:val="0028015D"/>
    <w:rsid w:val="0028140F"/>
    <w:rsid w:val="00282CA8"/>
    <w:rsid w:val="002845B7"/>
    <w:rsid w:val="00284871"/>
    <w:rsid w:val="00286C1F"/>
    <w:rsid w:val="002919AC"/>
    <w:rsid w:val="00297C44"/>
    <w:rsid w:val="002A0362"/>
    <w:rsid w:val="002A35DF"/>
    <w:rsid w:val="002A3994"/>
    <w:rsid w:val="002A4F66"/>
    <w:rsid w:val="002A6645"/>
    <w:rsid w:val="002A6DF0"/>
    <w:rsid w:val="002B003B"/>
    <w:rsid w:val="002B13FF"/>
    <w:rsid w:val="002B3870"/>
    <w:rsid w:val="002B55D4"/>
    <w:rsid w:val="002B60D4"/>
    <w:rsid w:val="002B68C0"/>
    <w:rsid w:val="002C1370"/>
    <w:rsid w:val="002C1871"/>
    <w:rsid w:val="002C5CCE"/>
    <w:rsid w:val="002C7667"/>
    <w:rsid w:val="002D17FB"/>
    <w:rsid w:val="002D47E0"/>
    <w:rsid w:val="002E0723"/>
    <w:rsid w:val="002E3646"/>
    <w:rsid w:val="002E448C"/>
    <w:rsid w:val="002E47D9"/>
    <w:rsid w:val="002F1F41"/>
    <w:rsid w:val="002F1F51"/>
    <w:rsid w:val="002F4425"/>
    <w:rsid w:val="002F706E"/>
    <w:rsid w:val="00301D13"/>
    <w:rsid w:val="00301E74"/>
    <w:rsid w:val="00304247"/>
    <w:rsid w:val="00305DEF"/>
    <w:rsid w:val="003065DC"/>
    <w:rsid w:val="00310DE7"/>
    <w:rsid w:val="00315334"/>
    <w:rsid w:val="003213EF"/>
    <w:rsid w:val="00323E2C"/>
    <w:rsid w:val="00324BC1"/>
    <w:rsid w:val="0032592D"/>
    <w:rsid w:val="00331DF2"/>
    <w:rsid w:val="00333B56"/>
    <w:rsid w:val="00335914"/>
    <w:rsid w:val="0033626B"/>
    <w:rsid w:val="00337236"/>
    <w:rsid w:val="00341DBA"/>
    <w:rsid w:val="003430EA"/>
    <w:rsid w:val="00343440"/>
    <w:rsid w:val="00344676"/>
    <w:rsid w:val="00344DF9"/>
    <w:rsid w:val="0034648A"/>
    <w:rsid w:val="00346CCA"/>
    <w:rsid w:val="003506DA"/>
    <w:rsid w:val="0035188D"/>
    <w:rsid w:val="00352EAA"/>
    <w:rsid w:val="00352FAD"/>
    <w:rsid w:val="003536EF"/>
    <w:rsid w:val="003538FD"/>
    <w:rsid w:val="00356AB4"/>
    <w:rsid w:val="00361C5A"/>
    <w:rsid w:val="003626C2"/>
    <w:rsid w:val="00364B72"/>
    <w:rsid w:val="00365EC3"/>
    <w:rsid w:val="00371783"/>
    <w:rsid w:val="00380ABA"/>
    <w:rsid w:val="00380FAC"/>
    <w:rsid w:val="003811D9"/>
    <w:rsid w:val="00383672"/>
    <w:rsid w:val="003839B7"/>
    <w:rsid w:val="00383CDF"/>
    <w:rsid w:val="0038630E"/>
    <w:rsid w:val="00390D82"/>
    <w:rsid w:val="00391B92"/>
    <w:rsid w:val="00391EEA"/>
    <w:rsid w:val="00392E0B"/>
    <w:rsid w:val="003962FF"/>
    <w:rsid w:val="0039668D"/>
    <w:rsid w:val="0039683D"/>
    <w:rsid w:val="003A0A2A"/>
    <w:rsid w:val="003A1810"/>
    <w:rsid w:val="003B0ECB"/>
    <w:rsid w:val="003B4473"/>
    <w:rsid w:val="003B44A2"/>
    <w:rsid w:val="003B785D"/>
    <w:rsid w:val="003B7E92"/>
    <w:rsid w:val="003C0156"/>
    <w:rsid w:val="003C0663"/>
    <w:rsid w:val="003C0FAC"/>
    <w:rsid w:val="003C0FD1"/>
    <w:rsid w:val="003C1A17"/>
    <w:rsid w:val="003C1F8B"/>
    <w:rsid w:val="003C24FE"/>
    <w:rsid w:val="003C2DC5"/>
    <w:rsid w:val="003C2DEB"/>
    <w:rsid w:val="003C3EC5"/>
    <w:rsid w:val="003C48D0"/>
    <w:rsid w:val="003C68C6"/>
    <w:rsid w:val="003C7359"/>
    <w:rsid w:val="003D4D48"/>
    <w:rsid w:val="003D634D"/>
    <w:rsid w:val="003D7768"/>
    <w:rsid w:val="003D7E71"/>
    <w:rsid w:val="003E4566"/>
    <w:rsid w:val="003E729A"/>
    <w:rsid w:val="003E7608"/>
    <w:rsid w:val="003F0B1E"/>
    <w:rsid w:val="003F1C42"/>
    <w:rsid w:val="003F6220"/>
    <w:rsid w:val="003F67AE"/>
    <w:rsid w:val="00400946"/>
    <w:rsid w:val="00401CDD"/>
    <w:rsid w:val="00404141"/>
    <w:rsid w:val="00404501"/>
    <w:rsid w:val="00407E4B"/>
    <w:rsid w:val="00410056"/>
    <w:rsid w:val="00411816"/>
    <w:rsid w:val="00413924"/>
    <w:rsid w:val="00416562"/>
    <w:rsid w:val="00417612"/>
    <w:rsid w:val="00417E31"/>
    <w:rsid w:val="0042156D"/>
    <w:rsid w:val="00422E99"/>
    <w:rsid w:val="00426A79"/>
    <w:rsid w:val="00427E44"/>
    <w:rsid w:val="00430A7F"/>
    <w:rsid w:val="00432491"/>
    <w:rsid w:val="00433AE6"/>
    <w:rsid w:val="00434097"/>
    <w:rsid w:val="00435A89"/>
    <w:rsid w:val="004375AE"/>
    <w:rsid w:val="00440C5A"/>
    <w:rsid w:val="00443926"/>
    <w:rsid w:val="00445727"/>
    <w:rsid w:val="004461B7"/>
    <w:rsid w:val="004463B5"/>
    <w:rsid w:val="00446443"/>
    <w:rsid w:val="00446BDF"/>
    <w:rsid w:val="00447A2D"/>
    <w:rsid w:val="00450B2C"/>
    <w:rsid w:val="00454884"/>
    <w:rsid w:val="00456B79"/>
    <w:rsid w:val="00463161"/>
    <w:rsid w:val="00465CEB"/>
    <w:rsid w:val="004660B7"/>
    <w:rsid w:val="004663A3"/>
    <w:rsid w:val="004670E8"/>
    <w:rsid w:val="0047061E"/>
    <w:rsid w:val="00471E80"/>
    <w:rsid w:val="004734DE"/>
    <w:rsid w:val="004818F3"/>
    <w:rsid w:val="00482975"/>
    <w:rsid w:val="00487AC1"/>
    <w:rsid w:val="00487C9F"/>
    <w:rsid w:val="004918A0"/>
    <w:rsid w:val="00491D79"/>
    <w:rsid w:val="004924D6"/>
    <w:rsid w:val="004935B0"/>
    <w:rsid w:val="0049560D"/>
    <w:rsid w:val="0049561D"/>
    <w:rsid w:val="004A4407"/>
    <w:rsid w:val="004A67A4"/>
    <w:rsid w:val="004B04B4"/>
    <w:rsid w:val="004B3C1E"/>
    <w:rsid w:val="004B4BC7"/>
    <w:rsid w:val="004B5034"/>
    <w:rsid w:val="004B5E34"/>
    <w:rsid w:val="004B67AF"/>
    <w:rsid w:val="004C0731"/>
    <w:rsid w:val="004C1E75"/>
    <w:rsid w:val="004C2A25"/>
    <w:rsid w:val="004C2CD9"/>
    <w:rsid w:val="004C3C2C"/>
    <w:rsid w:val="004C40C5"/>
    <w:rsid w:val="004C4386"/>
    <w:rsid w:val="004C48A0"/>
    <w:rsid w:val="004C4D4C"/>
    <w:rsid w:val="004C539D"/>
    <w:rsid w:val="004C55E0"/>
    <w:rsid w:val="004D3096"/>
    <w:rsid w:val="004D6EA6"/>
    <w:rsid w:val="004D7842"/>
    <w:rsid w:val="004E1AF7"/>
    <w:rsid w:val="004E1CC3"/>
    <w:rsid w:val="004E1F85"/>
    <w:rsid w:val="004E3297"/>
    <w:rsid w:val="004E5898"/>
    <w:rsid w:val="004F1010"/>
    <w:rsid w:val="004F138C"/>
    <w:rsid w:val="004F1619"/>
    <w:rsid w:val="004F30BC"/>
    <w:rsid w:val="004F5D43"/>
    <w:rsid w:val="004F6558"/>
    <w:rsid w:val="004F6ECB"/>
    <w:rsid w:val="0051004C"/>
    <w:rsid w:val="005106BA"/>
    <w:rsid w:val="00512088"/>
    <w:rsid w:val="00521C75"/>
    <w:rsid w:val="00521DF0"/>
    <w:rsid w:val="00523E3E"/>
    <w:rsid w:val="00523E7A"/>
    <w:rsid w:val="00527747"/>
    <w:rsid w:val="005303FD"/>
    <w:rsid w:val="00531E56"/>
    <w:rsid w:val="00535023"/>
    <w:rsid w:val="00535147"/>
    <w:rsid w:val="00540921"/>
    <w:rsid w:val="005475E3"/>
    <w:rsid w:val="00552D4A"/>
    <w:rsid w:val="00556708"/>
    <w:rsid w:val="005606A5"/>
    <w:rsid w:val="00560AEF"/>
    <w:rsid w:val="0056145A"/>
    <w:rsid w:val="00561703"/>
    <w:rsid w:val="005633E6"/>
    <w:rsid w:val="005653C4"/>
    <w:rsid w:val="00566959"/>
    <w:rsid w:val="0056764A"/>
    <w:rsid w:val="00570B1D"/>
    <w:rsid w:val="00573E9D"/>
    <w:rsid w:val="00577251"/>
    <w:rsid w:val="005817D5"/>
    <w:rsid w:val="00582E2E"/>
    <w:rsid w:val="00583311"/>
    <w:rsid w:val="00584CA2"/>
    <w:rsid w:val="005865DF"/>
    <w:rsid w:val="00590258"/>
    <w:rsid w:val="00590434"/>
    <w:rsid w:val="0059082C"/>
    <w:rsid w:val="00591117"/>
    <w:rsid w:val="005926BD"/>
    <w:rsid w:val="00592A7E"/>
    <w:rsid w:val="00592DD1"/>
    <w:rsid w:val="005931C8"/>
    <w:rsid w:val="0059456B"/>
    <w:rsid w:val="005956DA"/>
    <w:rsid w:val="00595E44"/>
    <w:rsid w:val="005971FD"/>
    <w:rsid w:val="005A059B"/>
    <w:rsid w:val="005A073A"/>
    <w:rsid w:val="005A0A7F"/>
    <w:rsid w:val="005A13C4"/>
    <w:rsid w:val="005A35AB"/>
    <w:rsid w:val="005A57D7"/>
    <w:rsid w:val="005A6184"/>
    <w:rsid w:val="005A67E4"/>
    <w:rsid w:val="005A7220"/>
    <w:rsid w:val="005B14C8"/>
    <w:rsid w:val="005B5F40"/>
    <w:rsid w:val="005B6555"/>
    <w:rsid w:val="005B6CF0"/>
    <w:rsid w:val="005B71D5"/>
    <w:rsid w:val="005B7B57"/>
    <w:rsid w:val="005C51D6"/>
    <w:rsid w:val="005D2D29"/>
    <w:rsid w:val="005D311E"/>
    <w:rsid w:val="005D5BF9"/>
    <w:rsid w:val="005D6951"/>
    <w:rsid w:val="005D6AAA"/>
    <w:rsid w:val="005E2347"/>
    <w:rsid w:val="005E3198"/>
    <w:rsid w:val="005E3E4F"/>
    <w:rsid w:val="005E45B1"/>
    <w:rsid w:val="005E6787"/>
    <w:rsid w:val="005E69ED"/>
    <w:rsid w:val="005F2D79"/>
    <w:rsid w:val="005F3CF1"/>
    <w:rsid w:val="005F3E5F"/>
    <w:rsid w:val="005F4883"/>
    <w:rsid w:val="005F6F75"/>
    <w:rsid w:val="005F6F8E"/>
    <w:rsid w:val="005F792D"/>
    <w:rsid w:val="0060058A"/>
    <w:rsid w:val="00600BBB"/>
    <w:rsid w:val="0060148B"/>
    <w:rsid w:val="0060660B"/>
    <w:rsid w:val="00607A60"/>
    <w:rsid w:val="00610720"/>
    <w:rsid w:val="006108AA"/>
    <w:rsid w:val="00611264"/>
    <w:rsid w:val="00616555"/>
    <w:rsid w:val="00616742"/>
    <w:rsid w:val="0061769D"/>
    <w:rsid w:val="006204E7"/>
    <w:rsid w:val="006245D8"/>
    <w:rsid w:val="00625C46"/>
    <w:rsid w:val="00626AEB"/>
    <w:rsid w:val="0062709E"/>
    <w:rsid w:val="0062777C"/>
    <w:rsid w:val="00635401"/>
    <w:rsid w:val="006372D8"/>
    <w:rsid w:val="00637435"/>
    <w:rsid w:val="00642B2F"/>
    <w:rsid w:val="00651082"/>
    <w:rsid w:val="00653A7E"/>
    <w:rsid w:val="00656BFF"/>
    <w:rsid w:val="00657032"/>
    <w:rsid w:val="006605F8"/>
    <w:rsid w:val="00661208"/>
    <w:rsid w:val="00662259"/>
    <w:rsid w:val="006660AB"/>
    <w:rsid w:val="0067028E"/>
    <w:rsid w:val="00671863"/>
    <w:rsid w:val="0067413C"/>
    <w:rsid w:val="00674228"/>
    <w:rsid w:val="00675236"/>
    <w:rsid w:val="00680F72"/>
    <w:rsid w:val="006823E5"/>
    <w:rsid w:val="006830A8"/>
    <w:rsid w:val="00683668"/>
    <w:rsid w:val="006836BA"/>
    <w:rsid w:val="00686009"/>
    <w:rsid w:val="00686B5A"/>
    <w:rsid w:val="006909DA"/>
    <w:rsid w:val="00690CAC"/>
    <w:rsid w:val="00690E2E"/>
    <w:rsid w:val="006944A4"/>
    <w:rsid w:val="00694803"/>
    <w:rsid w:val="00694E98"/>
    <w:rsid w:val="006958A7"/>
    <w:rsid w:val="00695A24"/>
    <w:rsid w:val="00695DCD"/>
    <w:rsid w:val="00695F52"/>
    <w:rsid w:val="0069730F"/>
    <w:rsid w:val="00697536"/>
    <w:rsid w:val="006A0C33"/>
    <w:rsid w:val="006A31CD"/>
    <w:rsid w:val="006A31E1"/>
    <w:rsid w:val="006A4C9C"/>
    <w:rsid w:val="006A6152"/>
    <w:rsid w:val="006A6997"/>
    <w:rsid w:val="006A71F8"/>
    <w:rsid w:val="006A764B"/>
    <w:rsid w:val="006B342A"/>
    <w:rsid w:val="006B3555"/>
    <w:rsid w:val="006B6916"/>
    <w:rsid w:val="006C0FA6"/>
    <w:rsid w:val="006C1C02"/>
    <w:rsid w:val="006C1F1D"/>
    <w:rsid w:val="006C5882"/>
    <w:rsid w:val="006C65FE"/>
    <w:rsid w:val="006C738B"/>
    <w:rsid w:val="006C74C5"/>
    <w:rsid w:val="006D0F77"/>
    <w:rsid w:val="006D190F"/>
    <w:rsid w:val="006D3BB1"/>
    <w:rsid w:val="006D49FA"/>
    <w:rsid w:val="006D7335"/>
    <w:rsid w:val="006D762D"/>
    <w:rsid w:val="006E0AB2"/>
    <w:rsid w:val="006E19FA"/>
    <w:rsid w:val="006E272B"/>
    <w:rsid w:val="006E3AC0"/>
    <w:rsid w:val="006E4992"/>
    <w:rsid w:val="006E5F72"/>
    <w:rsid w:val="006F18FA"/>
    <w:rsid w:val="006F279A"/>
    <w:rsid w:val="006F3FE8"/>
    <w:rsid w:val="006F4454"/>
    <w:rsid w:val="006F5AD3"/>
    <w:rsid w:val="007011AC"/>
    <w:rsid w:val="0070219B"/>
    <w:rsid w:val="00702E03"/>
    <w:rsid w:val="007035DB"/>
    <w:rsid w:val="00715120"/>
    <w:rsid w:val="00715142"/>
    <w:rsid w:val="007167D3"/>
    <w:rsid w:val="007175AE"/>
    <w:rsid w:val="00721E65"/>
    <w:rsid w:val="00722023"/>
    <w:rsid w:val="0072555B"/>
    <w:rsid w:val="00725903"/>
    <w:rsid w:val="00726107"/>
    <w:rsid w:val="00726649"/>
    <w:rsid w:val="00731E33"/>
    <w:rsid w:val="007333B6"/>
    <w:rsid w:val="00734C56"/>
    <w:rsid w:val="00737D6A"/>
    <w:rsid w:val="00742EE2"/>
    <w:rsid w:val="00743642"/>
    <w:rsid w:val="00743777"/>
    <w:rsid w:val="0074793F"/>
    <w:rsid w:val="00747AD9"/>
    <w:rsid w:val="007508C8"/>
    <w:rsid w:val="00751970"/>
    <w:rsid w:val="00752550"/>
    <w:rsid w:val="007535F3"/>
    <w:rsid w:val="0075650A"/>
    <w:rsid w:val="00760B6B"/>
    <w:rsid w:val="007622CC"/>
    <w:rsid w:val="0076384D"/>
    <w:rsid w:val="00767230"/>
    <w:rsid w:val="00770ACF"/>
    <w:rsid w:val="00772265"/>
    <w:rsid w:val="00772412"/>
    <w:rsid w:val="00772720"/>
    <w:rsid w:val="007758E3"/>
    <w:rsid w:val="007769AD"/>
    <w:rsid w:val="00776B45"/>
    <w:rsid w:val="0078160D"/>
    <w:rsid w:val="00782C2C"/>
    <w:rsid w:val="007859EA"/>
    <w:rsid w:val="00785AC3"/>
    <w:rsid w:val="00790A0F"/>
    <w:rsid w:val="00791080"/>
    <w:rsid w:val="0079197C"/>
    <w:rsid w:val="00794126"/>
    <w:rsid w:val="00795CF8"/>
    <w:rsid w:val="00795E1D"/>
    <w:rsid w:val="00796646"/>
    <w:rsid w:val="00797BD6"/>
    <w:rsid w:val="007A5557"/>
    <w:rsid w:val="007A6458"/>
    <w:rsid w:val="007A70F5"/>
    <w:rsid w:val="007A7574"/>
    <w:rsid w:val="007B3CA3"/>
    <w:rsid w:val="007B52B2"/>
    <w:rsid w:val="007B5851"/>
    <w:rsid w:val="007B6A8F"/>
    <w:rsid w:val="007C097C"/>
    <w:rsid w:val="007C1271"/>
    <w:rsid w:val="007C1FAF"/>
    <w:rsid w:val="007C2ED8"/>
    <w:rsid w:val="007C3755"/>
    <w:rsid w:val="007C50D1"/>
    <w:rsid w:val="007C55C2"/>
    <w:rsid w:val="007C5BAB"/>
    <w:rsid w:val="007D2A2B"/>
    <w:rsid w:val="007D487A"/>
    <w:rsid w:val="007D6A5E"/>
    <w:rsid w:val="007D7673"/>
    <w:rsid w:val="007E1B80"/>
    <w:rsid w:val="007E2484"/>
    <w:rsid w:val="007E27F2"/>
    <w:rsid w:val="007E3030"/>
    <w:rsid w:val="007E5179"/>
    <w:rsid w:val="007F0023"/>
    <w:rsid w:val="007F0A00"/>
    <w:rsid w:val="007F1722"/>
    <w:rsid w:val="007F27CA"/>
    <w:rsid w:val="007F2D31"/>
    <w:rsid w:val="008000B2"/>
    <w:rsid w:val="008001DD"/>
    <w:rsid w:val="00801470"/>
    <w:rsid w:val="00802D49"/>
    <w:rsid w:val="008044C2"/>
    <w:rsid w:val="0080726B"/>
    <w:rsid w:val="008073BA"/>
    <w:rsid w:val="0080769F"/>
    <w:rsid w:val="00810303"/>
    <w:rsid w:val="00811AAC"/>
    <w:rsid w:val="00813DB0"/>
    <w:rsid w:val="00814749"/>
    <w:rsid w:val="008147E3"/>
    <w:rsid w:val="00815F11"/>
    <w:rsid w:val="008169C2"/>
    <w:rsid w:val="00820193"/>
    <w:rsid w:val="008226B9"/>
    <w:rsid w:val="00824586"/>
    <w:rsid w:val="00824BD0"/>
    <w:rsid w:val="00826CC6"/>
    <w:rsid w:val="00827A1A"/>
    <w:rsid w:val="00827B71"/>
    <w:rsid w:val="008307B9"/>
    <w:rsid w:val="008315D4"/>
    <w:rsid w:val="008338B9"/>
    <w:rsid w:val="00834CA8"/>
    <w:rsid w:val="00835062"/>
    <w:rsid w:val="0083605C"/>
    <w:rsid w:val="0083702A"/>
    <w:rsid w:val="008379D6"/>
    <w:rsid w:val="008413DF"/>
    <w:rsid w:val="0084344B"/>
    <w:rsid w:val="008439BE"/>
    <w:rsid w:val="00850B61"/>
    <w:rsid w:val="0085121C"/>
    <w:rsid w:val="0085482E"/>
    <w:rsid w:val="00854D17"/>
    <w:rsid w:val="00856098"/>
    <w:rsid w:val="00856641"/>
    <w:rsid w:val="008603ED"/>
    <w:rsid w:val="0086270E"/>
    <w:rsid w:val="00862C28"/>
    <w:rsid w:val="00866203"/>
    <w:rsid w:val="00866908"/>
    <w:rsid w:val="00867DC2"/>
    <w:rsid w:val="00872D7E"/>
    <w:rsid w:val="0087304D"/>
    <w:rsid w:val="00875A69"/>
    <w:rsid w:val="008762A9"/>
    <w:rsid w:val="00877F83"/>
    <w:rsid w:val="00882D16"/>
    <w:rsid w:val="008831F7"/>
    <w:rsid w:val="00887086"/>
    <w:rsid w:val="0089310F"/>
    <w:rsid w:val="00894165"/>
    <w:rsid w:val="0089437F"/>
    <w:rsid w:val="00894F51"/>
    <w:rsid w:val="0089690C"/>
    <w:rsid w:val="008A0614"/>
    <w:rsid w:val="008A2ADA"/>
    <w:rsid w:val="008B13D9"/>
    <w:rsid w:val="008B37FD"/>
    <w:rsid w:val="008B6525"/>
    <w:rsid w:val="008B6E54"/>
    <w:rsid w:val="008B7E83"/>
    <w:rsid w:val="008C0966"/>
    <w:rsid w:val="008C2D0C"/>
    <w:rsid w:val="008C57A0"/>
    <w:rsid w:val="008C58F4"/>
    <w:rsid w:val="008C6109"/>
    <w:rsid w:val="008C66A5"/>
    <w:rsid w:val="008C66BC"/>
    <w:rsid w:val="008D03C8"/>
    <w:rsid w:val="008D1A7D"/>
    <w:rsid w:val="008D362E"/>
    <w:rsid w:val="008D44F7"/>
    <w:rsid w:val="008D4AC8"/>
    <w:rsid w:val="008E6F02"/>
    <w:rsid w:val="008F0C8E"/>
    <w:rsid w:val="008F3A0E"/>
    <w:rsid w:val="008F6E69"/>
    <w:rsid w:val="00900789"/>
    <w:rsid w:val="00900C6E"/>
    <w:rsid w:val="0090109E"/>
    <w:rsid w:val="00902AE8"/>
    <w:rsid w:val="00903323"/>
    <w:rsid w:val="00903A4F"/>
    <w:rsid w:val="00905174"/>
    <w:rsid w:val="00905277"/>
    <w:rsid w:val="0090718F"/>
    <w:rsid w:val="00914707"/>
    <w:rsid w:val="0091532B"/>
    <w:rsid w:val="00920DD3"/>
    <w:rsid w:val="00923847"/>
    <w:rsid w:val="009258D4"/>
    <w:rsid w:val="00926692"/>
    <w:rsid w:val="0092699C"/>
    <w:rsid w:val="00932104"/>
    <w:rsid w:val="00934258"/>
    <w:rsid w:val="00934796"/>
    <w:rsid w:val="00934917"/>
    <w:rsid w:val="009352A6"/>
    <w:rsid w:val="00940795"/>
    <w:rsid w:val="00943626"/>
    <w:rsid w:val="009437E0"/>
    <w:rsid w:val="00947571"/>
    <w:rsid w:val="0095120B"/>
    <w:rsid w:val="00951790"/>
    <w:rsid w:val="00953DE9"/>
    <w:rsid w:val="009543D9"/>
    <w:rsid w:val="009557AF"/>
    <w:rsid w:val="0095594F"/>
    <w:rsid w:val="00956337"/>
    <w:rsid w:val="00956564"/>
    <w:rsid w:val="00957C97"/>
    <w:rsid w:val="00960B5D"/>
    <w:rsid w:val="00960C9B"/>
    <w:rsid w:val="009611CF"/>
    <w:rsid w:val="0096659F"/>
    <w:rsid w:val="009755B8"/>
    <w:rsid w:val="00977064"/>
    <w:rsid w:val="00984F56"/>
    <w:rsid w:val="00985014"/>
    <w:rsid w:val="00995E3C"/>
    <w:rsid w:val="00997D19"/>
    <w:rsid w:val="00997F4D"/>
    <w:rsid w:val="009A0CCB"/>
    <w:rsid w:val="009A2DED"/>
    <w:rsid w:val="009A4658"/>
    <w:rsid w:val="009A5CC4"/>
    <w:rsid w:val="009A7145"/>
    <w:rsid w:val="009B03BD"/>
    <w:rsid w:val="009B405C"/>
    <w:rsid w:val="009B4165"/>
    <w:rsid w:val="009B62EA"/>
    <w:rsid w:val="009C14F8"/>
    <w:rsid w:val="009C57FE"/>
    <w:rsid w:val="009D1253"/>
    <w:rsid w:val="009D1D6C"/>
    <w:rsid w:val="009D56C1"/>
    <w:rsid w:val="009D5BC8"/>
    <w:rsid w:val="009D5D4D"/>
    <w:rsid w:val="009D6671"/>
    <w:rsid w:val="009D6ADB"/>
    <w:rsid w:val="009D7AAD"/>
    <w:rsid w:val="009E0A3C"/>
    <w:rsid w:val="009E141F"/>
    <w:rsid w:val="009E27C5"/>
    <w:rsid w:val="009E37A9"/>
    <w:rsid w:val="009E3809"/>
    <w:rsid w:val="009E4F1D"/>
    <w:rsid w:val="009F00DA"/>
    <w:rsid w:val="009F0652"/>
    <w:rsid w:val="009F3719"/>
    <w:rsid w:val="00A02B8C"/>
    <w:rsid w:val="00A04A44"/>
    <w:rsid w:val="00A06B59"/>
    <w:rsid w:val="00A10D01"/>
    <w:rsid w:val="00A14769"/>
    <w:rsid w:val="00A219FD"/>
    <w:rsid w:val="00A22EC2"/>
    <w:rsid w:val="00A2393E"/>
    <w:rsid w:val="00A320D2"/>
    <w:rsid w:val="00A33E1B"/>
    <w:rsid w:val="00A34E6C"/>
    <w:rsid w:val="00A353DB"/>
    <w:rsid w:val="00A41590"/>
    <w:rsid w:val="00A41984"/>
    <w:rsid w:val="00A428F8"/>
    <w:rsid w:val="00A464A2"/>
    <w:rsid w:val="00A46CE6"/>
    <w:rsid w:val="00A47208"/>
    <w:rsid w:val="00A50ABC"/>
    <w:rsid w:val="00A5127D"/>
    <w:rsid w:val="00A51C39"/>
    <w:rsid w:val="00A52F5A"/>
    <w:rsid w:val="00A57865"/>
    <w:rsid w:val="00A57FD2"/>
    <w:rsid w:val="00A6223E"/>
    <w:rsid w:val="00A62739"/>
    <w:rsid w:val="00A630B1"/>
    <w:rsid w:val="00A63432"/>
    <w:rsid w:val="00A644E1"/>
    <w:rsid w:val="00A64A46"/>
    <w:rsid w:val="00A65102"/>
    <w:rsid w:val="00A66254"/>
    <w:rsid w:val="00A66597"/>
    <w:rsid w:val="00A66BC3"/>
    <w:rsid w:val="00A678EE"/>
    <w:rsid w:val="00A70116"/>
    <w:rsid w:val="00A7032D"/>
    <w:rsid w:val="00A73B29"/>
    <w:rsid w:val="00A75428"/>
    <w:rsid w:val="00A80474"/>
    <w:rsid w:val="00A80DD0"/>
    <w:rsid w:val="00A81CF9"/>
    <w:rsid w:val="00A81FEF"/>
    <w:rsid w:val="00A86416"/>
    <w:rsid w:val="00A91BA5"/>
    <w:rsid w:val="00A92B07"/>
    <w:rsid w:val="00A937E8"/>
    <w:rsid w:val="00A96444"/>
    <w:rsid w:val="00AA0B43"/>
    <w:rsid w:val="00AA1D19"/>
    <w:rsid w:val="00AA639F"/>
    <w:rsid w:val="00AA6594"/>
    <w:rsid w:val="00AA6F40"/>
    <w:rsid w:val="00AA7058"/>
    <w:rsid w:val="00AA7D1B"/>
    <w:rsid w:val="00AA7ECC"/>
    <w:rsid w:val="00AB083F"/>
    <w:rsid w:val="00AB09FF"/>
    <w:rsid w:val="00AB1E4D"/>
    <w:rsid w:val="00AB274C"/>
    <w:rsid w:val="00AB3A9A"/>
    <w:rsid w:val="00AB3CE8"/>
    <w:rsid w:val="00AB56FB"/>
    <w:rsid w:val="00AB7441"/>
    <w:rsid w:val="00AD1C22"/>
    <w:rsid w:val="00AD3916"/>
    <w:rsid w:val="00AE11FA"/>
    <w:rsid w:val="00AE133C"/>
    <w:rsid w:val="00AE1A3A"/>
    <w:rsid w:val="00AE5C4B"/>
    <w:rsid w:val="00AE7AF7"/>
    <w:rsid w:val="00AF1D60"/>
    <w:rsid w:val="00AF45A3"/>
    <w:rsid w:val="00AF5D0C"/>
    <w:rsid w:val="00AF625F"/>
    <w:rsid w:val="00AF7D65"/>
    <w:rsid w:val="00B00737"/>
    <w:rsid w:val="00B017D8"/>
    <w:rsid w:val="00B02F5D"/>
    <w:rsid w:val="00B03CA0"/>
    <w:rsid w:val="00B05AE8"/>
    <w:rsid w:val="00B1238E"/>
    <w:rsid w:val="00B12C1C"/>
    <w:rsid w:val="00B13FD0"/>
    <w:rsid w:val="00B20BDD"/>
    <w:rsid w:val="00B214BD"/>
    <w:rsid w:val="00B23380"/>
    <w:rsid w:val="00B23ACD"/>
    <w:rsid w:val="00B25035"/>
    <w:rsid w:val="00B27818"/>
    <w:rsid w:val="00B31C5C"/>
    <w:rsid w:val="00B33325"/>
    <w:rsid w:val="00B35AB2"/>
    <w:rsid w:val="00B37276"/>
    <w:rsid w:val="00B4132E"/>
    <w:rsid w:val="00B41F54"/>
    <w:rsid w:val="00B42B18"/>
    <w:rsid w:val="00B440E9"/>
    <w:rsid w:val="00B5369E"/>
    <w:rsid w:val="00B5410B"/>
    <w:rsid w:val="00B558BF"/>
    <w:rsid w:val="00B56FAF"/>
    <w:rsid w:val="00B57071"/>
    <w:rsid w:val="00B6024C"/>
    <w:rsid w:val="00B6059D"/>
    <w:rsid w:val="00B624AA"/>
    <w:rsid w:val="00B64D43"/>
    <w:rsid w:val="00B6693B"/>
    <w:rsid w:val="00B700D6"/>
    <w:rsid w:val="00B73D8D"/>
    <w:rsid w:val="00B75E57"/>
    <w:rsid w:val="00B80BD9"/>
    <w:rsid w:val="00B820C8"/>
    <w:rsid w:val="00B82A4A"/>
    <w:rsid w:val="00B83A99"/>
    <w:rsid w:val="00B84E37"/>
    <w:rsid w:val="00B8742A"/>
    <w:rsid w:val="00B87F3E"/>
    <w:rsid w:val="00B9048A"/>
    <w:rsid w:val="00B914C4"/>
    <w:rsid w:val="00B93583"/>
    <w:rsid w:val="00B95374"/>
    <w:rsid w:val="00B9538F"/>
    <w:rsid w:val="00BA0F60"/>
    <w:rsid w:val="00BA1190"/>
    <w:rsid w:val="00BA3702"/>
    <w:rsid w:val="00BA58FD"/>
    <w:rsid w:val="00BA657D"/>
    <w:rsid w:val="00BA7A0D"/>
    <w:rsid w:val="00BC7A47"/>
    <w:rsid w:val="00BC7B94"/>
    <w:rsid w:val="00BD0781"/>
    <w:rsid w:val="00BD0A83"/>
    <w:rsid w:val="00BD1CA6"/>
    <w:rsid w:val="00BD4097"/>
    <w:rsid w:val="00BD5FF4"/>
    <w:rsid w:val="00BD74BC"/>
    <w:rsid w:val="00BE3248"/>
    <w:rsid w:val="00BE465F"/>
    <w:rsid w:val="00BE504B"/>
    <w:rsid w:val="00BE5E2A"/>
    <w:rsid w:val="00BF01E0"/>
    <w:rsid w:val="00BF0DC5"/>
    <w:rsid w:val="00BF1D9A"/>
    <w:rsid w:val="00BF25A6"/>
    <w:rsid w:val="00BF2B59"/>
    <w:rsid w:val="00BF535C"/>
    <w:rsid w:val="00BF58A6"/>
    <w:rsid w:val="00BF685A"/>
    <w:rsid w:val="00C010EA"/>
    <w:rsid w:val="00C02294"/>
    <w:rsid w:val="00C04263"/>
    <w:rsid w:val="00C04D52"/>
    <w:rsid w:val="00C10D10"/>
    <w:rsid w:val="00C1171B"/>
    <w:rsid w:val="00C14EDA"/>
    <w:rsid w:val="00C15565"/>
    <w:rsid w:val="00C16E7E"/>
    <w:rsid w:val="00C17101"/>
    <w:rsid w:val="00C214AB"/>
    <w:rsid w:val="00C21A0B"/>
    <w:rsid w:val="00C238C6"/>
    <w:rsid w:val="00C23A67"/>
    <w:rsid w:val="00C2485C"/>
    <w:rsid w:val="00C25630"/>
    <w:rsid w:val="00C2575D"/>
    <w:rsid w:val="00C25CEF"/>
    <w:rsid w:val="00C26B9B"/>
    <w:rsid w:val="00C27102"/>
    <w:rsid w:val="00C3048E"/>
    <w:rsid w:val="00C31CBC"/>
    <w:rsid w:val="00C32809"/>
    <w:rsid w:val="00C3284C"/>
    <w:rsid w:val="00C3327C"/>
    <w:rsid w:val="00C35B9F"/>
    <w:rsid w:val="00C41A39"/>
    <w:rsid w:val="00C43F8F"/>
    <w:rsid w:val="00C44272"/>
    <w:rsid w:val="00C45AEB"/>
    <w:rsid w:val="00C4676A"/>
    <w:rsid w:val="00C5134F"/>
    <w:rsid w:val="00C5143F"/>
    <w:rsid w:val="00C51F1F"/>
    <w:rsid w:val="00C61012"/>
    <w:rsid w:val="00C61D61"/>
    <w:rsid w:val="00C625D6"/>
    <w:rsid w:val="00C63616"/>
    <w:rsid w:val="00C63634"/>
    <w:rsid w:val="00C652A3"/>
    <w:rsid w:val="00C65931"/>
    <w:rsid w:val="00C66635"/>
    <w:rsid w:val="00C66F5E"/>
    <w:rsid w:val="00C67763"/>
    <w:rsid w:val="00C706D8"/>
    <w:rsid w:val="00C70D1E"/>
    <w:rsid w:val="00C7134E"/>
    <w:rsid w:val="00C73419"/>
    <w:rsid w:val="00C74F5B"/>
    <w:rsid w:val="00C75FF9"/>
    <w:rsid w:val="00C839DC"/>
    <w:rsid w:val="00C85FB6"/>
    <w:rsid w:val="00C87494"/>
    <w:rsid w:val="00C87A6E"/>
    <w:rsid w:val="00C90D42"/>
    <w:rsid w:val="00C91407"/>
    <w:rsid w:val="00C91985"/>
    <w:rsid w:val="00C91B9A"/>
    <w:rsid w:val="00C91EEC"/>
    <w:rsid w:val="00C96A0F"/>
    <w:rsid w:val="00C96BDA"/>
    <w:rsid w:val="00C975DB"/>
    <w:rsid w:val="00CA0FF2"/>
    <w:rsid w:val="00CA17BC"/>
    <w:rsid w:val="00CA58D1"/>
    <w:rsid w:val="00CA7023"/>
    <w:rsid w:val="00CA7531"/>
    <w:rsid w:val="00CB065C"/>
    <w:rsid w:val="00CB24A1"/>
    <w:rsid w:val="00CB2644"/>
    <w:rsid w:val="00CB4DCD"/>
    <w:rsid w:val="00CB4FB6"/>
    <w:rsid w:val="00CB6D90"/>
    <w:rsid w:val="00CB7148"/>
    <w:rsid w:val="00CB7AC0"/>
    <w:rsid w:val="00CB7D5E"/>
    <w:rsid w:val="00CC0942"/>
    <w:rsid w:val="00CC2474"/>
    <w:rsid w:val="00CC3DC3"/>
    <w:rsid w:val="00CD2CBE"/>
    <w:rsid w:val="00CD3630"/>
    <w:rsid w:val="00CD3B23"/>
    <w:rsid w:val="00CD415B"/>
    <w:rsid w:val="00CD538A"/>
    <w:rsid w:val="00CD6801"/>
    <w:rsid w:val="00CD69A5"/>
    <w:rsid w:val="00CE0147"/>
    <w:rsid w:val="00CE0276"/>
    <w:rsid w:val="00CE0625"/>
    <w:rsid w:val="00CE08CC"/>
    <w:rsid w:val="00CE0C85"/>
    <w:rsid w:val="00CE15F6"/>
    <w:rsid w:val="00CF0035"/>
    <w:rsid w:val="00CF00C6"/>
    <w:rsid w:val="00CF0A8F"/>
    <w:rsid w:val="00CF126E"/>
    <w:rsid w:val="00CF50C5"/>
    <w:rsid w:val="00CF5EFF"/>
    <w:rsid w:val="00CF799A"/>
    <w:rsid w:val="00D00CD8"/>
    <w:rsid w:val="00D01847"/>
    <w:rsid w:val="00D02175"/>
    <w:rsid w:val="00D03AE0"/>
    <w:rsid w:val="00D04572"/>
    <w:rsid w:val="00D072F6"/>
    <w:rsid w:val="00D073C1"/>
    <w:rsid w:val="00D11E4F"/>
    <w:rsid w:val="00D13B6F"/>
    <w:rsid w:val="00D15B7C"/>
    <w:rsid w:val="00D17092"/>
    <w:rsid w:val="00D173DD"/>
    <w:rsid w:val="00D20D2E"/>
    <w:rsid w:val="00D213AA"/>
    <w:rsid w:val="00D2353D"/>
    <w:rsid w:val="00D240E1"/>
    <w:rsid w:val="00D274FD"/>
    <w:rsid w:val="00D31725"/>
    <w:rsid w:val="00D32741"/>
    <w:rsid w:val="00D343C9"/>
    <w:rsid w:val="00D346DF"/>
    <w:rsid w:val="00D4395C"/>
    <w:rsid w:val="00D45171"/>
    <w:rsid w:val="00D5007C"/>
    <w:rsid w:val="00D50E40"/>
    <w:rsid w:val="00D54703"/>
    <w:rsid w:val="00D57FAF"/>
    <w:rsid w:val="00D606A1"/>
    <w:rsid w:val="00D623C4"/>
    <w:rsid w:val="00D65010"/>
    <w:rsid w:val="00D671B7"/>
    <w:rsid w:val="00D703AD"/>
    <w:rsid w:val="00D72B44"/>
    <w:rsid w:val="00D74869"/>
    <w:rsid w:val="00D759CD"/>
    <w:rsid w:val="00D76602"/>
    <w:rsid w:val="00D7719B"/>
    <w:rsid w:val="00D81874"/>
    <w:rsid w:val="00D82A72"/>
    <w:rsid w:val="00D82EFA"/>
    <w:rsid w:val="00D83D5E"/>
    <w:rsid w:val="00D84203"/>
    <w:rsid w:val="00D842B5"/>
    <w:rsid w:val="00D87933"/>
    <w:rsid w:val="00D87FD2"/>
    <w:rsid w:val="00D90E75"/>
    <w:rsid w:val="00D94C75"/>
    <w:rsid w:val="00DA0D20"/>
    <w:rsid w:val="00DA24A4"/>
    <w:rsid w:val="00DA4126"/>
    <w:rsid w:val="00DA478F"/>
    <w:rsid w:val="00DB1206"/>
    <w:rsid w:val="00DB30ED"/>
    <w:rsid w:val="00DB3A87"/>
    <w:rsid w:val="00DB5C68"/>
    <w:rsid w:val="00DB72B2"/>
    <w:rsid w:val="00DB772E"/>
    <w:rsid w:val="00DC0817"/>
    <w:rsid w:val="00DC0C0E"/>
    <w:rsid w:val="00DC0CAD"/>
    <w:rsid w:val="00DC3639"/>
    <w:rsid w:val="00DC7F0E"/>
    <w:rsid w:val="00DC7F99"/>
    <w:rsid w:val="00DD0F23"/>
    <w:rsid w:val="00DD2860"/>
    <w:rsid w:val="00DD5356"/>
    <w:rsid w:val="00DD70BB"/>
    <w:rsid w:val="00DD7CE1"/>
    <w:rsid w:val="00DE1AAC"/>
    <w:rsid w:val="00DE6C01"/>
    <w:rsid w:val="00DE76C0"/>
    <w:rsid w:val="00DF0C18"/>
    <w:rsid w:val="00DF3E8E"/>
    <w:rsid w:val="00E00764"/>
    <w:rsid w:val="00E0146F"/>
    <w:rsid w:val="00E01556"/>
    <w:rsid w:val="00E03483"/>
    <w:rsid w:val="00E10A43"/>
    <w:rsid w:val="00E10D7A"/>
    <w:rsid w:val="00E12EC7"/>
    <w:rsid w:val="00E13B7D"/>
    <w:rsid w:val="00E14624"/>
    <w:rsid w:val="00E14CEC"/>
    <w:rsid w:val="00E1515A"/>
    <w:rsid w:val="00E204E6"/>
    <w:rsid w:val="00E22874"/>
    <w:rsid w:val="00E23F9F"/>
    <w:rsid w:val="00E2620C"/>
    <w:rsid w:val="00E27E09"/>
    <w:rsid w:val="00E312FA"/>
    <w:rsid w:val="00E32486"/>
    <w:rsid w:val="00E330A7"/>
    <w:rsid w:val="00E33BFE"/>
    <w:rsid w:val="00E35352"/>
    <w:rsid w:val="00E35C9A"/>
    <w:rsid w:val="00E36154"/>
    <w:rsid w:val="00E41939"/>
    <w:rsid w:val="00E43E4A"/>
    <w:rsid w:val="00E4625F"/>
    <w:rsid w:val="00E53C18"/>
    <w:rsid w:val="00E543E3"/>
    <w:rsid w:val="00E5441A"/>
    <w:rsid w:val="00E57535"/>
    <w:rsid w:val="00E57605"/>
    <w:rsid w:val="00E57826"/>
    <w:rsid w:val="00E57B26"/>
    <w:rsid w:val="00E61C7A"/>
    <w:rsid w:val="00E62F84"/>
    <w:rsid w:val="00E640F7"/>
    <w:rsid w:val="00E647D8"/>
    <w:rsid w:val="00E65E7D"/>
    <w:rsid w:val="00E667A2"/>
    <w:rsid w:val="00E70798"/>
    <w:rsid w:val="00E71FE8"/>
    <w:rsid w:val="00E729FA"/>
    <w:rsid w:val="00E72C0C"/>
    <w:rsid w:val="00E73F4D"/>
    <w:rsid w:val="00E74460"/>
    <w:rsid w:val="00E76B72"/>
    <w:rsid w:val="00E80633"/>
    <w:rsid w:val="00E81D48"/>
    <w:rsid w:val="00E82B46"/>
    <w:rsid w:val="00E854CF"/>
    <w:rsid w:val="00E8698E"/>
    <w:rsid w:val="00E87390"/>
    <w:rsid w:val="00E904E0"/>
    <w:rsid w:val="00E90ED4"/>
    <w:rsid w:val="00E912FC"/>
    <w:rsid w:val="00E93B72"/>
    <w:rsid w:val="00EA01AF"/>
    <w:rsid w:val="00EA1491"/>
    <w:rsid w:val="00EA256B"/>
    <w:rsid w:val="00EA28F7"/>
    <w:rsid w:val="00EA335C"/>
    <w:rsid w:val="00EA59C3"/>
    <w:rsid w:val="00EA5A20"/>
    <w:rsid w:val="00EA78F2"/>
    <w:rsid w:val="00EB27C7"/>
    <w:rsid w:val="00EB4200"/>
    <w:rsid w:val="00EC21F8"/>
    <w:rsid w:val="00EC331F"/>
    <w:rsid w:val="00EC37AC"/>
    <w:rsid w:val="00EC4895"/>
    <w:rsid w:val="00EC58A9"/>
    <w:rsid w:val="00ED01CD"/>
    <w:rsid w:val="00ED067D"/>
    <w:rsid w:val="00ED16ED"/>
    <w:rsid w:val="00EF1692"/>
    <w:rsid w:val="00EF2431"/>
    <w:rsid w:val="00EF487F"/>
    <w:rsid w:val="00EF5346"/>
    <w:rsid w:val="00EF6327"/>
    <w:rsid w:val="00EF73A7"/>
    <w:rsid w:val="00F01575"/>
    <w:rsid w:val="00F01E2F"/>
    <w:rsid w:val="00F03410"/>
    <w:rsid w:val="00F054D3"/>
    <w:rsid w:val="00F0702F"/>
    <w:rsid w:val="00F10EAB"/>
    <w:rsid w:val="00F12C6D"/>
    <w:rsid w:val="00F1388F"/>
    <w:rsid w:val="00F17D20"/>
    <w:rsid w:val="00F26EE2"/>
    <w:rsid w:val="00F32F36"/>
    <w:rsid w:val="00F3730E"/>
    <w:rsid w:val="00F3764D"/>
    <w:rsid w:val="00F40158"/>
    <w:rsid w:val="00F40D46"/>
    <w:rsid w:val="00F41E9C"/>
    <w:rsid w:val="00F43F93"/>
    <w:rsid w:val="00F4574C"/>
    <w:rsid w:val="00F464F7"/>
    <w:rsid w:val="00F46D9B"/>
    <w:rsid w:val="00F52152"/>
    <w:rsid w:val="00F527C6"/>
    <w:rsid w:val="00F529DB"/>
    <w:rsid w:val="00F54601"/>
    <w:rsid w:val="00F5619E"/>
    <w:rsid w:val="00F5670D"/>
    <w:rsid w:val="00F56939"/>
    <w:rsid w:val="00F57B3C"/>
    <w:rsid w:val="00F60365"/>
    <w:rsid w:val="00F61B07"/>
    <w:rsid w:val="00F61FBD"/>
    <w:rsid w:val="00F6202A"/>
    <w:rsid w:val="00F659AD"/>
    <w:rsid w:val="00F712BF"/>
    <w:rsid w:val="00F72435"/>
    <w:rsid w:val="00F73BB8"/>
    <w:rsid w:val="00F74260"/>
    <w:rsid w:val="00F74886"/>
    <w:rsid w:val="00F75499"/>
    <w:rsid w:val="00F778B7"/>
    <w:rsid w:val="00F802D3"/>
    <w:rsid w:val="00F84182"/>
    <w:rsid w:val="00F867E8"/>
    <w:rsid w:val="00F9072A"/>
    <w:rsid w:val="00F91565"/>
    <w:rsid w:val="00F9199F"/>
    <w:rsid w:val="00F94052"/>
    <w:rsid w:val="00F9432D"/>
    <w:rsid w:val="00F94637"/>
    <w:rsid w:val="00F94D39"/>
    <w:rsid w:val="00F952A7"/>
    <w:rsid w:val="00F97647"/>
    <w:rsid w:val="00FA0947"/>
    <w:rsid w:val="00FA098E"/>
    <w:rsid w:val="00FA1E2D"/>
    <w:rsid w:val="00FA269F"/>
    <w:rsid w:val="00FA3DEE"/>
    <w:rsid w:val="00FA49AE"/>
    <w:rsid w:val="00FA5F9C"/>
    <w:rsid w:val="00FA6C33"/>
    <w:rsid w:val="00FA7AE6"/>
    <w:rsid w:val="00FB2E7D"/>
    <w:rsid w:val="00FB3A7E"/>
    <w:rsid w:val="00FB448D"/>
    <w:rsid w:val="00FB52CA"/>
    <w:rsid w:val="00FB545C"/>
    <w:rsid w:val="00FB626D"/>
    <w:rsid w:val="00FC0A9E"/>
    <w:rsid w:val="00FC1812"/>
    <w:rsid w:val="00FC50D5"/>
    <w:rsid w:val="00FC5C39"/>
    <w:rsid w:val="00FD3178"/>
    <w:rsid w:val="00FD50C6"/>
    <w:rsid w:val="00FD5B1B"/>
    <w:rsid w:val="00FE0D24"/>
    <w:rsid w:val="00FE1F3F"/>
    <w:rsid w:val="00FE3A40"/>
    <w:rsid w:val="00FE4B38"/>
    <w:rsid w:val="00FE5C44"/>
    <w:rsid w:val="00FE60F7"/>
    <w:rsid w:val="00FE77A8"/>
    <w:rsid w:val="00FF0D13"/>
    <w:rsid w:val="00FF1D57"/>
    <w:rsid w:val="00FF2F2A"/>
    <w:rsid w:val="00FF6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E4A"/>
  <w15:chartTrackingRefBased/>
  <w15:docId w15:val="{C804650F-886F-47AB-840A-5D4DBB80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AC8"/>
    <w:pPr>
      <w:spacing w:after="0" w:line="276" w:lineRule="auto"/>
    </w:pPr>
    <w:rPr>
      <w:rFonts w:ascii="Calibri" w:eastAsia="Calibri" w:hAnsi="Calibri" w:cs="Times New Roman"/>
    </w:rPr>
  </w:style>
  <w:style w:type="paragraph" w:styleId="Nagwek1">
    <w:name w:val="heading 1"/>
    <w:basedOn w:val="Normalny"/>
    <w:next w:val="Normalny"/>
    <w:link w:val="Nagwek1Znak"/>
    <w:qFormat/>
    <w:rsid w:val="008D4AC8"/>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4AC8"/>
    <w:rPr>
      <w:rFonts w:ascii="Arial" w:eastAsia="Times New Roman" w:hAnsi="Arial" w:cs="Arial"/>
      <w:b/>
      <w:bCs/>
      <w:kern w:val="32"/>
      <w:sz w:val="32"/>
      <w:szCs w:val="32"/>
      <w:lang w:eastAsia="pl-PL"/>
    </w:rPr>
  </w:style>
  <w:style w:type="character" w:styleId="Hipercze">
    <w:name w:val="Hyperlink"/>
    <w:uiPriority w:val="99"/>
    <w:unhideWhenUsed/>
    <w:rsid w:val="008D4AC8"/>
    <w:rPr>
      <w:color w:val="0000FF"/>
      <w:u w:val="single"/>
    </w:rPr>
  </w:style>
  <w:style w:type="paragraph" w:customStyle="1" w:styleId="A-normalny">
    <w:name w:val="A - normalny"/>
    <w:basedOn w:val="Normalny"/>
    <w:qFormat/>
    <w:rsid w:val="00D213AA"/>
    <w:pPr>
      <w:spacing w:before="120" w:after="120" w:line="288" w:lineRule="auto"/>
      <w:jc w:val="both"/>
    </w:pPr>
    <w:rPr>
      <w:rFonts w:ascii="Verdana" w:hAnsi="Verdana"/>
      <w:sz w:val="18"/>
      <w:szCs w:val="24"/>
    </w:rPr>
  </w:style>
  <w:style w:type="paragraph" w:styleId="Akapitzlist">
    <w:name w:val="List Paragraph"/>
    <w:basedOn w:val="Normalny"/>
    <w:uiPriority w:val="34"/>
    <w:qFormat/>
    <w:rsid w:val="00D213AA"/>
    <w:pPr>
      <w:spacing w:line="240" w:lineRule="auto"/>
      <w:ind w:left="720"/>
      <w:contextualSpacing/>
    </w:pPr>
  </w:style>
  <w:style w:type="paragraph" w:styleId="Tekstdymka">
    <w:name w:val="Balloon Text"/>
    <w:basedOn w:val="Normalny"/>
    <w:link w:val="TekstdymkaZnak"/>
    <w:uiPriority w:val="99"/>
    <w:semiHidden/>
    <w:rsid w:val="00D213AA"/>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213AA"/>
    <w:rPr>
      <w:rFonts w:ascii="Tahoma" w:eastAsia="Calibri" w:hAnsi="Tahoma" w:cs="Times New Roman"/>
      <w:sz w:val="16"/>
      <w:szCs w:val="16"/>
    </w:rPr>
  </w:style>
  <w:style w:type="character" w:styleId="Odwoaniedokomentarza">
    <w:name w:val="annotation reference"/>
    <w:uiPriority w:val="99"/>
    <w:unhideWhenUsed/>
    <w:rsid w:val="00167446"/>
    <w:rPr>
      <w:sz w:val="16"/>
      <w:szCs w:val="16"/>
    </w:rPr>
  </w:style>
  <w:style w:type="paragraph" w:styleId="Tekstkomentarza">
    <w:name w:val="annotation text"/>
    <w:basedOn w:val="Normalny"/>
    <w:link w:val="TekstkomentarzaZnak"/>
    <w:uiPriority w:val="99"/>
    <w:unhideWhenUsed/>
    <w:rsid w:val="00167446"/>
    <w:pPr>
      <w:spacing w:line="240" w:lineRule="auto"/>
    </w:pPr>
    <w:rPr>
      <w:sz w:val="20"/>
      <w:szCs w:val="20"/>
    </w:rPr>
  </w:style>
  <w:style w:type="character" w:customStyle="1" w:styleId="TekstkomentarzaZnak">
    <w:name w:val="Tekst komentarza Znak"/>
    <w:basedOn w:val="Domylnaczcionkaakapitu"/>
    <w:link w:val="Tekstkomentarza"/>
    <w:uiPriority w:val="99"/>
    <w:rsid w:val="00167446"/>
    <w:rPr>
      <w:rFonts w:ascii="Calibri" w:eastAsia="Calibri" w:hAnsi="Calibri" w:cs="Times New Roman"/>
      <w:sz w:val="20"/>
      <w:szCs w:val="20"/>
    </w:rPr>
  </w:style>
  <w:style w:type="paragraph" w:styleId="Stopka">
    <w:name w:val="footer"/>
    <w:basedOn w:val="Normalny"/>
    <w:link w:val="StopkaZnak"/>
    <w:uiPriority w:val="99"/>
    <w:unhideWhenUsed/>
    <w:rsid w:val="0023077C"/>
    <w:pPr>
      <w:tabs>
        <w:tab w:val="center" w:pos="4536"/>
        <w:tab w:val="right" w:pos="9072"/>
      </w:tabs>
      <w:spacing w:line="240" w:lineRule="auto"/>
    </w:pPr>
    <w:rPr>
      <w:sz w:val="20"/>
      <w:szCs w:val="20"/>
    </w:rPr>
  </w:style>
  <w:style w:type="character" w:customStyle="1" w:styleId="StopkaZnak">
    <w:name w:val="Stopka Znak"/>
    <w:basedOn w:val="Domylnaczcionkaakapitu"/>
    <w:link w:val="Stopka"/>
    <w:uiPriority w:val="99"/>
    <w:rsid w:val="0023077C"/>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23077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077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24FE"/>
    <w:rPr>
      <w:b/>
      <w:bCs/>
    </w:rPr>
  </w:style>
  <w:style w:type="character" w:customStyle="1" w:styleId="TematkomentarzaZnak">
    <w:name w:val="Temat komentarza Znak"/>
    <w:basedOn w:val="TekstkomentarzaZnak"/>
    <w:link w:val="Tematkomentarza"/>
    <w:uiPriority w:val="99"/>
    <w:semiHidden/>
    <w:rsid w:val="003C24FE"/>
    <w:rPr>
      <w:rFonts w:ascii="Calibri" w:eastAsia="Calibri" w:hAnsi="Calibri" w:cs="Times New Roman"/>
      <w:b/>
      <w:bCs/>
      <w:sz w:val="20"/>
      <w:szCs w:val="20"/>
    </w:rPr>
  </w:style>
  <w:style w:type="paragraph" w:styleId="Poprawka">
    <w:name w:val="Revision"/>
    <w:hidden/>
    <w:uiPriority w:val="99"/>
    <w:semiHidden/>
    <w:rsid w:val="00BD5FF4"/>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134DE4"/>
    <w:rPr>
      <w:color w:val="605E5C"/>
      <w:shd w:val="clear" w:color="auto" w:fill="E1DFDD"/>
    </w:rPr>
  </w:style>
  <w:style w:type="paragraph" w:customStyle="1" w:styleId="pismamz">
    <w:name w:val="pisma_mz"/>
    <w:basedOn w:val="Normalny"/>
    <w:link w:val="pismamzZnak"/>
    <w:qFormat/>
    <w:rsid w:val="00810303"/>
    <w:pPr>
      <w:spacing w:line="360" w:lineRule="auto"/>
      <w:contextualSpacing/>
      <w:jc w:val="both"/>
    </w:pPr>
    <w:rPr>
      <w:rFonts w:ascii="Arial" w:hAnsi="Arial"/>
    </w:rPr>
  </w:style>
  <w:style w:type="character" w:customStyle="1" w:styleId="pismamzZnak">
    <w:name w:val="pisma_mz Znak"/>
    <w:link w:val="pismamz"/>
    <w:rsid w:val="00810303"/>
    <w:rPr>
      <w:rFonts w:ascii="Arial" w:eastAsia="Calibri" w:hAnsi="Arial" w:cs="Times New Roman"/>
    </w:rPr>
  </w:style>
  <w:style w:type="paragraph" w:styleId="NormalnyWeb">
    <w:name w:val="Normal (Web)"/>
    <w:basedOn w:val="Normalny"/>
    <w:uiPriority w:val="99"/>
    <w:semiHidden/>
    <w:unhideWhenUsed/>
    <w:rsid w:val="004F101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4F1010"/>
    <w:rPr>
      <w:b/>
      <w:bCs/>
    </w:rPr>
  </w:style>
  <w:style w:type="paragraph" w:customStyle="1" w:styleId="2TIRpodwjnytiret">
    <w:name w:val="2TIR – podwójny tiret"/>
    <w:basedOn w:val="Normalny"/>
    <w:uiPriority w:val="73"/>
    <w:qFormat/>
    <w:rsid w:val="006E5F72"/>
    <w:pPr>
      <w:spacing w:line="360" w:lineRule="auto"/>
      <w:ind w:left="1780" w:hanging="397"/>
      <w:jc w:val="both"/>
    </w:pPr>
    <w:rPr>
      <w:rFonts w:ascii="Times" w:eastAsiaTheme="minorEastAsia" w:hAnsi="Times" w:cs="Arial"/>
      <w:bCs/>
      <w:sz w:val="24"/>
      <w:szCs w:val="20"/>
      <w:lang w:eastAsia="pl-PL"/>
    </w:rPr>
  </w:style>
  <w:style w:type="paragraph" w:customStyle="1" w:styleId="PKTpunkt">
    <w:name w:val="PKT – punkt"/>
    <w:uiPriority w:val="13"/>
    <w:qFormat/>
    <w:rsid w:val="006E5F7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770ACF"/>
    <w:pPr>
      <w:tabs>
        <w:tab w:val="center" w:pos="4536"/>
        <w:tab w:val="right" w:pos="9072"/>
      </w:tabs>
      <w:spacing w:line="240" w:lineRule="auto"/>
    </w:pPr>
  </w:style>
  <w:style w:type="character" w:customStyle="1" w:styleId="NagwekZnak">
    <w:name w:val="Nagłówek Znak"/>
    <w:basedOn w:val="Domylnaczcionkaakapitu"/>
    <w:link w:val="Nagwek"/>
    <w:uiPriority w:val="99"/>
    <w:rsid w:val="00770ACF"/>
    <w:rPr>
      <w:rFonts w:ascii="Calibri" w:eastAsia="Calibri" w:hAnsi="Calibri" w:cs="Times New Roman"/>
    </w:rPr>
  </w:style>
  <w:style w:type="character" w:customStyle="1" w:styleId="text-justify">
    <w:name w:val="text-justify"/>
    <w:basedOn w:val="Domylnaczcionkaakapitu"/>
    <w:rsid w:val="00D87FD2"/>
  </w:style>
  <w:style w:type="character" w:styleId="Uwydatnienie">
    <w:name w:val="Emphasis"/>
    <w:basedOn w:val="Domylnaczcionkaakapitu"/>
    <w:uiPriority w:val="20"/>
    <w:qFormat/>
    <w:rsid w:val="00D87FD2"/>
    <w:rPr>
      <w:i/>
      <w:iCs/>
    </w:rPr>
  </w:style>
  <w:style w:type="paragraph" w:customStyle="1" w:styleId="Default">
    <w:name w:val="Default"/>
    <w:rsid w:val="007175AE"/>
    <w:pPr>
      <w:autoSpaceDE w:val="0"/>
      <w:autoSpaceDN w:val="0"/>
      <w:adjustRightInd w:val="0"/>
      <w:spacing w:after="0" w:line="240" w:lineRule="auto"/>
    </w:pPr>
    <w:rPr>
      <w:rFonts w:ascii="Lato" w:hAnsi="Lato" w:cs="Lato"/>
      <w:color w:val="000000"/>
      <w:sz w:val="24"/>
      <w:szCs w:val="24"/>
    </w:rPr>
  </w:style>
  <w:style w:type="paragraph" w:customStyle="1" w:styleId="xmsolistparagraph">
    <w:name w:val="x_msolistparagraph"/>
    <w:basedOn w:val="Normalny"/>
    <w:rsid w:val="0020628A"/>
    <w:pPr>
      <w:spacing w:before="100" w:beforeAutospacing="1" w:after="100" w:afterAutospacing="1" w:line="240" w:lineRule="auto"/>
    </w:pPr>
    <w:rPr>
      <w:rFonts w:ascii="Aptos" w:eastAsiaTheme="minorHAnsi" w:hAnsi="Aptos" w:cs="Aptos"/>
      <w:sz w:val="24"/>
      <w:szCs w:val="24"/>
      <w:lang w:eastAsia="pl-PL"/>
    </w:rPr>
  </w:style>
  <w:style w:type="character" w:customStyle="1" w:styleId="Ppogrubienie">
    <w:name w:val="_P_ – pogrubienie"/>
    <w:basedOn w:val="Domylnaczcionkaakapitu"/>
    <w:qFormat/>
    <w:rsid w:val="009D5D4D"/>
    <w:rPr>
      <w:b/>
    </w:rPr>
  </w:style>
  <w:style w:type="paragraph" w:customStyle="1" w:styleId="ARTartustawynprozporzdzenia">
    <w:name w:val="ART(§) – art. ustawy (§ np. rozporządzenia)"/>
    <w:rsid w:val="00AB56FB"/>
    <w:pPr>
      <w:suppressAutoHyphens/>
      <w:autoSpaceDE w:val="0"/>
      <w:autoSpaceDN w:val="0"/>
      <w:spacing w:before="120" w:after="0" w:line="360" w:lineRule="auto"/>
      <w:ind w:firstLine="510"/>
      <w:jc w:val="both"/>
    </w:pPr>
    <w:rPr>
      <w:rFonts w:ascii="Times" w:eastAsia="Times New Roman" w:hAnsi="Times" w:cs="Arial"/>
      <w:sz w:val="24"/>
      <w:szCs w:val="20"/>
      <w:lang w:eastAsia="pl-PL"/>
    </w:rPr>
  </w:style>
  <w:style w:type="table" w:styleId="Tabela-Siatka">
    <w:name w:val="Table Grid"/>
    <w:basedOn w:val="Standardowy"/>
    <w:uiPriority w:val="39"/>
    <w:rsid w:val="00F43F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57C97"/>
    <w:rPr>
      <w:color w:val="605E5C"/>
      <w:shd w:val="clear" w:color="auto" w:fill="E1DFDD"/>
    </w:rPr>
  </w:style>
  <w:style w:type="character" w:styleId="Odwoanieprzypisukocowego">
    <w:name w:val="endnote reference"/>
    <w:basedOn w:val="Domylnaczcionkaakapitu"/>
    <w:uiPriority w:val="99"/>
    <w:semiHidden/>
    <w:unhideWhenUsed/>
    <w:rsid w:val="00304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6532">
      <w:bodyDiv w:val="1"/>
      <w:marLeft w:val="0"/>
      <w:marRight w:val="0"/>
      <w:marTop w:val="0"/>
      <w:marBottom w:val="0"/>
      <w:divBdr>
        <w:top w:val="none" w:sz="0" w:space="0" w:color="auto"/>
        <w:left w:val="none" w:sz="0" w:space="0" w:color="auto"/>
        <w:bottom w:val="none" w:sz="0" w:space="0" w:color="auto"/>
        <w:right w:val="none" w:sz="0" w:space="0" w:color="auto"/>
      </w:divBdr>
    </w:div>
    <w:div w:id="224335284">
      <w:bodyDiv w:val="1"/>
      <w:marLeft w:val="0"/>
      <w:marRight w:val="0"/>
      <w:marTop w:val="0"/>
      <w:marBottom w:val="0"/>
      <w:divBdr>
        <w:top w:val="none" w:sz="0" w:space="0" w:color="auto"/>
        <w:left w:val="none" w:sz="0" w:space="0" w:color="auto"/>
        <w:bottom w:val="none" w:sz="0" w:space="0" w:color="auto"/>
        <w:right w:val="none" w:sz="0" w:space="0" w:color="auto"/>
      </w:divBdr>
    </w:div>
    <w:div w:id="259457629">
      <w:bodyDiv w:val="1"/>
      <w:marLeft w:val="0"/>
      <w:marRight w:val="0"/>
      <w:marTop w:val="0"/>
      <w:marBottom w:val="0"/>
      <w:divBdr>
        <w:top w:val="none" w:sz="0" w:space="0" w:color="auto"/>
        <w:left w:val="none" w:sz="0" w:space="0" w:color="auto"/>
        <w:bottom w:val="none" w:sz="0" w:space="0" w:color="auto"/>
        <w:right w:val="none" w:sz="0" w:space="0" w:color="auto"/>
      </w:divBdr>
    </w:div>
    <w:div w:id="316957246">
      <w:bodyDiv w:val="1"/>
      <w:marLeft w:val="0"/>
      <w:marRight w:val="0"/>
      <w:marTop w:val="0"/>
      <w:marBottom w:val="0"/>
      <w:divBdr>
        <w:top w:val="none" w:sz="0" w:space="0" w:color="auto"/>
        <w:left w:val="none" w:sz="0" w:space="0" w:color="auto"/>
        <w:bottom w:val="none" w:sz="0" w:space="0" w:color="auto"/>
        <w:right w:val="none" w:sz="0" w:space="0" w:color="auto"/>
      </w:divBdr>
    </w:div>
    <w:div w:id="356784167">
      <w:bodyDiv w:val="1"/>
      <w:marLeft w:val="0"/>
      <w:marRight w:val="0"/>
      <w:marTop w:val="0"/>
      <w:marBottom w:val="0"/>
      <w:divBdr>
        <w:top w:val="none" w:sz="0" w:space="0" w:color="auto"/>
        <w:left w:val="none" w:sz="0" w:space="0" w:color="auto"/>
        <w:bottom w:val="none" w:sz="0" w:space="0" w:color="auto"/>
        <w:right w:val="none" w:sz="0" w:space="0" w:color="auto"/>
      </w:divBdr>
    </w:div>
    <w:div w:id="449858345">
      <w:bodyDiv w:val="1"/>
      <w:marLeft w:val="0"/>
      <w:marRight w:val="0"/>
      <w:marTop w:val="0"/>
      <w:marBottom w:val="0"/>
      <w:divBdr>
        <w:top w:val="none" w:sz="0" w:space="0" w:color="auto"/>
        <w:left w:val="none" w:sz="0" w:space="0" w:color="auto"/>
        <w:bottom w:val="none" w:sz="0" w:space="0" w:color="auto"/>
        <w:right w:val="none" w:sz="0" w:space="0" w:color="auto"/>
      </w:divBdr>
    </w:div>
    <w:div w:id="469398954">
      <w:bodyDiv w:val="1"/>
      <w:marLeft w:val="0"/>
      <w:marRight w:val="0"/>
      <w:marTop w:val="0"/>
      <w:marBottom w:val="0"/>
      <w:divBdr>
        <w:top w:val="none" w:sz="0" w:space="0" w:color="auto"/>
        <w:left w:val="none" w:sz="0" w:space="0" w:color="auto"/>
        <w:bottom w:val="none" w:sz="0" w:space="0" w:color="auto"/>
        <w:right w:val="none" w:sz="0" w:space="0" w:color="auto"/>
      </w:divBdr>
    </w:div>
    <w:div w:id="509419278">
      <w:bodyDiv w:val="1"/>
      <w:marLeft w:val="0"/>
      <w:marRight w:val="0"/>
      <w:marTop w:val="0"/>
      <w:marBottom w:val="0"/>
      <w:divBdr>
        <w:top w:val="none" w:sz="0" w:space="0" w:color="auto"/>
        <w:left w:val="none" w:sz="0" w:space="0" w:color="auto"/>
        <w:bottom w:val="none" w:sz="0" w:space="0" w:color="auto"/>
        <w:right w:val="none" w:sz="0" w:space="0" w:color="auto"/>
      </w:divBdr>
    </w:div>
    <w:div w:id="596867147">
      <w:bodyDiv w:val="1"/>
      <w:marLeft w:val="0"/>
      <w:marRight w:val="0"/>
      <w:marTop w:val="0"/>
      <w:marBottom w:val="0"/>
      <w:divBdr>
        <w:top w:val="none" w:sz="0" w:space="0" w:color="auto"/>
        <w:left w:val="none" w:sz="0" w:space="0" w:color="auto"/>
        <w:bottom w:val="none" w:sz="0" w:space="0" w:color="auto"/>
        <w:right w:val="none" w:sz="0" w:space="0" w:color="auto"/>
      </w:divBdr>
    </w:div>
    <w:div w:id="615257237">
      <w:bodyDiv w:val="1"/>
      <w:marLeft w:val="0"/>
      <w:marRight w:val="0"/>
      <w:marTop w:val="0"/>
      <w:marBottom w:val="0"/>
      <w:divBdr>
        <w:top w:val="none" w:sz="0" w:space="0" w:color="auto"/>
        <w:left w:val="none" w:sz="0" w:space="0" w:color="auto"/>
        <w:bottom w:val="none" w:sz="0" w:space="0" w:color="auto"/>
        <w:right w:val="none" w:sz="0" w:space="0" w:color="auto"/>
      </w:divBdr>
    </w:div>
    <w:div w:id="666128028">
      <w:bodyDiv w:val="1"/>
      <w:marLeft w:val="0"/>
      <w:marRight w:val="0"/>
      <w:marTop w:val="0"/>
      <w:marBottom w:val="0"/>
      <w:divBdr>
        <w:top w:val="none" w:sz="0" w:space="0" w:color="auto"/>
        <w:left w:val="none" w:sz="0" w:space="0" w:color="auto"/>
        <w:bottom w:val="none" w:sz="0" w:space="0" w:color="auto"/>
        <w:right w:val="none" w:sz="0" w:space="0" w:color="auto"/>
      </w:divBdr>
    </w:div>
    <w:div w:id="724766990">
      <w:bodyDiv w:val="1"/>
      <w:marLeft w:val="0"/>
      <w:marRight w:val="0"/>
      <w:marTop w:val="0"/>
      <w:marBottom w:val="0"/>
      <w:divBdr>
        <w:top w:val="none" w:sz="0" w:space="0" w:color="auto"/>
        <w:left w:val="none" w:sz="0" w:space="0" w:color="auto"/>
        <w:bottom w:val="none" w:sz="0" w:space="0" w:color="auto"/>
        <w:right w:val="none" w:sz="0" w:space="0" w:color="auto"/>
      </w:divBdr>
    </w:div>
    <w:div w:id="1036151302">
      <w:bodyDiv w:val="1"/>
      <w:marLeft w:val="0"/>
      <w:marRight w:val="0"/>
      <w:marTop w:val="0"/>
      <w:marBottom w:val="0"/>
      <w:divBdr>
        <w:top w:val="none" w:sz="0" w:space="0" w:color="auto"/>
        <w:left w:val="none" w:sz="0" w:space="0" w:color="auto"/>
        <w:bottom w:val="none" w:sz="0" w:space="0" w:color="auto"/>
        <w:right w:val="none" w:sz="0" w:space="0" w:color="auto"/>
      </w:divBdr>
    </w:div>
    <w:div w:id="1039822109">
      <w:bodyDiv w:val="1"/>
      <w:marLeft w:val="0"/>
      <w:marRight w:val="0"/>
      <w:marTop w:val="0"/>
      <w:marBottom w:val="0"/>
      <w:divBdr>
        <w:top w:val="none" w:sz="0" w:space="0" w:color="auto"/>
        <w:left w:val="none" w:sz="0" w:space="0" w:color="auto"/>
        <w:bottom w:val="none" w:sz="0" w:space="0" w:color="auto"/>
        <w:right w:val="none" w:sz="0" w:space="0" w:color="auto"/>
      </w:divBdr>
    </w:div>
    <w:div w:id="1070691990">
      <w:bodyDiv w:val="1"/>
      <w:marLeft w:val="0"/>
      <w:marRight w:val="0"/>
      <w:marTop w:val="0"/>
      <w:marBottom w:val="0"/>
      <w:divBdr>
        <w:top w:val="none" w:sz="0" w:space="0" w:color="auto"/>
        <w:left w:val="none" w:sz="0" w:space="0" w:color="auto"/>
        <w:bottom w:val="none" w:sz="0" w:space="0" w:color="auto"/>
        <w:right w:val="none" w:sz="0" w:space="0" w:color="auto"/>
      </w:divBdr>
      <w:divsChild>
        <w:div w:id="625241177">
          <w:marLeft w:val="0"/>
          <w:marRight w:val="0"/>
          <w:marTop w:val="105"/>
          <w:marBottom w:val="0"/>
          <w:divBdr>
            <w:top w:val="none" w:sz="0" w:space="0" w:color="auto"/>
            <w:left w:val="none" w:sz="0" w:space="0" w:color="auto"/>
            <w:bottom w:val="none" w:sz="0" w:space="0" w:color="auto"/>
            <w:right w:val="none" w:sz="0" w:space="0" w:color="auto"/>
          </w:divBdr>
        </w:div>
      </w:divsChild>
    </w:div>
    <w:div w:id="1115830251">
      <w:bodyDiv w:val="1"/>
      <w:marLeft w:val="0"/>
      <w:marRight w:val="0"/>
      <w:marTop w:val="0"/>
      <w:marBottom w:val="0"/>
      <w:divBdr>
        <w:top w:val="none" w:sz="0" w:space="0" w:color="auto"/>
        <w:left w:val="none" w:sz="0" w:space="0" w:color="auto"/>
        <w:bottom w:val="none" w:sz="0" w:space="0" w:color="auto"/>
        <w:right w:val="none" w:sz="0" w:space="0" w:color="auto"/>
      </w:divBdr>
    </w:div>
    <w:div w:id="1168591166">
      <w:bodyDiv w:val="1"/>
      <w:marLeft w:val="0"/>
      <w:marRight w:val="0"/>
      <w:marTop w:val="0"/>
      <w:marBottom w:val="0"/>
      <w:divBdr>
        <w:top w:val="none" w:sz="0" w:space="0" w:color="auto"/>
        <w:left w:val="none" w:sz="0" w:space="0" w:color="auto"/>
        <w:bottom w:val="none" w:sz="0" w:space="0" w:color="auto"/>
        <w:right w:val="none" w:sz="0" w:space="0" w:color="auto"/>
      </w:divBdr>
    </w:div>
    <w:div w:id="1337421631">
      <w:bodyDiv w:val="1"/>
      <w:marLeft w:val="0"/>
      <w:marRight w:val="0"/>
      <w:marTop w:val="0"/>
      <w:marBottom w:val="0"/>
      <w:divBdr>
        <w:top w:val="none" w:sz="0" w:space="0" w:color="auto"/>
        <w:left w:val="none" w:sz="0" w:space="0" w:color="auto"/>
        <w:bottom w:val="none" w:sz="0" w:space="0" w:color="auto"/>
        <w:right w:val="none" w:sz="0" w:space="0" w:color="auto"/>
      </w:divBdr>
    </w:div>
    <w:div w:id="1441530154">
      <w:bodyDiv w:val="1"/>
      <w:marLeft w:val="0"/>
      <w:marRight w:val="0"/>
      <w:marTop w:val="0"/>
      <w:marBottom w:val="0"/>
      <w:divBdr>
        <w:top w:val="none" w:sz="0" w:space="0" w:color="auto"/>
        <w:left w:val="none" w:sz="0" w:space="0" w:color="auto"/>
        <w:bottom w:val="none" w:sz="0" w:space="0" w:color="auto"/>
        <w:right w:val="none" w:sz="0" w:space="0" w:color="auto"/>
      </w:divBdr>
    </w:div>
    <w:div w:id="1476608249">
      <w:bodyDiv w:val="1"/>
      <w:marLeft w:val="0"/>
      <w:marRight w:val="0"/>
      <w:marTop w:val="0"/>
      <w:marBottom w:val="0"/>
      <w:divBdr>
        <w:top w:val="none" w:sz="0" w:space="0" w:color="auto"/>
        <w:left w:val="none" w:sz="0" w:space="0" w:color="auto"/>
        <w:bottom w:val="none" w:sz="0" w:space="0" w:color="auto"/>
        <w:right w:val="none" w:sz="0" w:space="0" w:color="auto"/>
      </w:divBdr>
    </w:div>
    <w:div w:id="1484465627">
      <w:bodyDiv w:val="1"/>
      <w:marLeft w:val="0"/>
      <w:marRight w:val="0"/>
      <w:marTop w:val="0"/>
      <w:marBottom w:val="0"/>
      <w:divBdr>
        <w:top w:val="none" w:sz="0" w:space="0" w:color="auto"/>
        <w:left w:val="none" w:sz="0" w:space="0" w:color="auto"/>
        <w:bottom w:val="none" w:sz="0" w:space="0" w:color="auto"/>
        <w:right w:val="none" w:sz="0" w:space="0" w:color="auto"/>
      </w:divBdr>
    </w:div>
    <w:div w:id="1532500213">
      <w:bodyDiv w:val="1"/>
      <w:marLeft w:val="0"/>
      <w:marRight w:val="0"/>
      <w:marTop w:val="0"/>
      <w:marBottom w:val="0"/>
      <w:divBdr>
        <w:top w:val="none" w:sz="0" w:space="0" w:color="auto"/>
        <w:left w:val="none" w:sz="0" w:space="0" w:color="auto"/>
        <w:bottom w:val="none" w:sz="0" w:space="0" w:color="auto"/>
        <w:right w:val="none" w:sz="0" w:space="0" w:color="auto"/>
      </w:divBdr>
      <w:divsChild>
        <w:div w:id="1505130056">
          <w:marLeft w:val="0"/>
          <w:marRight w:val="0"/>
          <w:marTop w:val="105"/>
          <w:marBottom w:val="0"/>
          <w:divBdr>
            <w:top w:val="none" w:sz="0" w:space="0" w:color="auto"/>
            <w:left w:val="none" w:sz="0" w:space="0" w:color="auto"/>
            <w:bottom w:val="none" w:sz="0" w:space="0" w:color="auto"/>
            <w:right w:val="none" w:sz="0" w:space="0" w:color="auto"/>
          </w:divBdr>
        </w:div>
      </w:divsChild>
    </w:div>
    <w:div w:id="1706325305">
      <w:bodyDiv w:val="1"/>
      <w:marLeft w:val="0"/>
      <w:marRight w:val="0"/>
      <w:marTop w:val="0"/>
      <w:marBottom w:val="0"/>
      <w:divBdr>
        <w:top w:val="none" w:sz="0" w:space="0" w:color="auto"/>
        <w:left w:val="none" w:sz="0" w:space="0" w:color="auto"/>
        <w:bottom w:val="none" w:sz="0" w:space="0" w:color="auto"/>
        <w:right w:val="none" w:sz="0" w:space="0" w:color="auto"/>
      </w:divBdr>
    </w:div>
    <w:div w:id="17332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pl@mz.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7251665E24480B497F5A2B814D928"/>
        <w:category>
          <w:name w:val="Ogólne"/>
          <w:gallery w:val="placeholder"/>
        </w:category>
        <w:types>
          <w:type w:val="bbPlcHdr"/>
        </w:types>
        <w:behaviors>
          <w:behavior w:val="content"/>
        </w:behaviors>
        <w:guid w:val="{BD4F2DE6-38EA-4D4C-AB54-4DEBB2B7BD51}"/>
      </w:docPartPr>
      <w:docPartBody>
        <w:p w:rsidR="00CC7125" w:rsidRDefault="005E2553" w:rsidP="005E2553">
          <w:pPr>
            <w:pStyle w:val="EB47251665E24480B497F5A2B814D928"/>
          </w:pPr>
          <w:r w:rsidRPr="008D248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53"/>
    <w:rsid w:val="000141BF"/>
    <w:rsid w:val="00066327"/>
    <w:rsid w:val="0007700C"/>
    <w:rsid w:val="0008401B"/>
    <w:rsid w:val="00086E4C"/>
    <w:rsid w:val="00094234"/>
    <w:rsid w:val="000A1D69"/>
    <w:rsid w:val="000B6832"/>
    <w:rsid w:val="000C66DE"/>
    <w:rsid w:val="000D2AC6"/>
    <w:rsid w:val="000D5D5C"/>
    <w:rsid w:val="000E2A17"/>
    <w:rsid w:val="000E5A66"/>
    <w:rsid w:val="000F5A6A"/>
    <w:rsid w:val="00103C3B"/>
    <w:rsid w:val="00117607"/>
    <w:rsid w:val="0012294C"/>
    <w:rsid w:val="00126190"/>
    <w:rsid w:val="00130DE9"/>
    <w:rsid w:val="0014132E"/>
    <w:rsid w:val="001472C5"/>
    <w:rsid w:val="0014763C"/>
    <w:rsid w:val="00154AB3"/>
    <w:rsid w:val="001616AD"/>
    <w:rsid w:val="00167660"/>
    <w:rsid w:val="0017157C"/>
    <w:rsid w:val="00171885"/>
    <w:rsid w:val="00181E4B"/>
    <w:rsid w:val="00190769"/>
    <w:rsid w:val="001C5039"/>
    <w:rsid w:val="001C570F"/>
    <w:rsid w:val="001C5C9F"/>
    <w:rsid w:val="001D795A"/>
    <w:rsid w:val="001E4FB4"/>
    <w:rsid w:val="002052CB"/>
    <w:rsid w:val="00212744"/>
    <w:rsid w:val="0022182B"/>
    <w:rsid w:val="002262D4"/>
    <w:rsid w:val="00233977"/>
    <w:rsid w:val="0023410D"/>
    <w:rsid w:val="0024781E"/>
    <w:rsid w:val="00281067"/>
    <w:rsid w:val="002919AC"/>
    <w:rsid w:val="002965AA"/>
    <w:rsid w:val="002B55D4"/>
    <w:rsid w:val="00300151"/>
    <w:rsid w:val="003009CC"/>
    <w:rsid w:val="00323E2C"/>
    <w:rsid w:val="0033626B"/>
    <w:rsid w:val="00392660"/>
    <w:rsid w:val="003A69B1"/>
    <w:rsid w:val="003B7E92"/>
    <w:rsid w:val="003D7383"/>
    <w:rsid w:val="003E3EF1"/>
    <w:rsid w:val="004458CE"/>
    <w:rsid w:val="004461B7"/>
    <w:rsid w:val="00465798"/>
    <w:rsid w:val="004670E8"/>
    <w:rsid w:val="004740D6"/>
    <w:rsid w:val="004749C7"/>
    <w:rsid w:val="00490A97"/>
    <w:rsid w:val="004935D7"/>
    <w:rsid w:val="0049560D"/>
    <w:rsid w:val="004C2A25"/>
    <w:rsid w:val="004E367A"/>
    <w:rsid w:val="004E5898"/>
    <w:rsid w:val="004F30BC"/>
    <w:rsid w:val="004F5D43"/>
    <w:rsid w:val="00512088"/>
    <w:rsid w:val="005300DC"/>
    <w:rsid w:val="00541B55"/>
    <w:rsid w:val="00587475"/>
    <w:rsid w:val="005971FD"/>
    <w:rsid w:val="005B3EE9"/>
    <w:rsid w:val="005B6555"/>
    <w:rsid w:val="005C2F74"/>
    <w:rsid w:val="005D2C38"/>
    <w:rsid w:val="005E01E9"/>
    <w:rsid w:val="005E2553"/>
    <w:rsid w:val="0060058A"/>
    <w:rsid w:val="00616742"/>
    <w:rsid w:val="006340D6"/>
    <w:rsid w:val="00637E42"/>
    <w:rsid w:val="00662A4A"/>
    <w:rsid w:val="00685817"/>
    <w:rsid w:val="006909DA"/>
    <w:rsid w:val="00691DCA"/>
    <w:rsid w:val="006C1DD1"/>
    <w:rsid w:val="006C4654"/>
    <w:rsid w:val="006C5B3D"/>
    <w:rsid w:val="006E37A1"/>
    <w:rsid w:val="006F4454"/>
    <w:rsid w:val="00700977"/>
    <w:rsid w:val="00702E03"/>
    <w:rsid w:val="00724C87"/>
    <w:rsid w:val="00734C56"/>
    <w:rsid w:val="007422FC"/>
    <w:rsid w:val="00743642"/>
    <w:rsid w:val="00746650"/>
    <w:rsid w:val="007535A7"/>
    <w:rsid w:val="007622CC"/>
    <w:rsid w:val="00775533"/>
    <w:rsid w:val="0079200A"/>
    <w:rsid w:val="00795CF8"/>
    <w:rsid w:val="007E32D4"/>
    <w:rsid w:val="008176B8"/>
    <w:rsid w:val="00822FF1"/>
    <w:rsid w:val="00835062"/>
    <w:rsid w:val="0084344B"/>
    <w:rsid w:val="0085121C"/>
    <w:rsid w:val="00872D7E"/>
    <w:rsid w:val="008830C9"/>
    <w:rsid w:val="0089199B"/>
    <w:rsid w:val="0089437F"/>
    <w:rsid w:val="008A0614"/>
    <w:rsid w:val="008A5173"/>
    <w:rsid w:val="008B1147"/>
    <w:rsid w:val="008B4605"/>
    <w:rsid w:val="008C0966"/>
    <w:rsid w:val="008D3FFB"/>
    <w:rsid w:val="008F0C8E"/>
    <w:rsid w:val="008F787C"/>
    <w:rsid w:val="00956337"/>
    <w:rsid w:val="009650B0"/>
    <w:rsid w:val="00972F7D"/>
    <w:rsid w:val="009A4D26"/>
    <w:rsid w:val="009B405C"/>
    <w:rsid w:val="009C34B3"/>
    <w:rsid w:val="009C693B"/>
    <w:rsid w:val="009D5BC8"/>
    <w:rsid w:val="009D63DE"/>
    <w:rsid w:val="009D7AAD"/>
    <w:rsid w:val="009E37A9"/>
    <w:rsid w:val="00A00394"/>
    <w:rsid w:val="00A02B8C"/>
    <w:rsid w:val="00A031C1"/>
    <w:rsid w:val="00A14769"/>
    <w:rsid w:val="00A22C65"/>
    <w:rsid w:val="00A22EC2"/>
    <w:rsid w:val="00A428F8"/>
    <w:rsid w:val="00A47B24"/>
    <w:rsid w:val="00A56EA6"/>
    <w:rsid w:val="00A66254"/>
    <w:rsid w:val="00A95AD4"/>
    <w:rsid w:val="00AB1E4D"/>
    <w:rsid w:val="00AD1C22"/>
    <w:rsid w:val="00AE45D6"/>
    <w:rsid w:val="00B166A9"/>
    <w:rsid w:val="00B177A1"/>
    <w:rsid w:val="00B25035"/>
    <w:rsid w:val="00B27856"/>
    <w:rsid w:val="00B624AA"/>
    <w:rsid w:val="00BA762E"/>
    <w:rsid w:val="00BB4152"/>
    <w:rsid w:val="00BD74BC"/>
    <w:rsid w:val="00BE504B"/>
    <w:rsid w:val="00BE59F7"/>
    <w:rsid w:val="00C13785"/>
    <w:rsid w:val="00C23658"/>
    <w:rsid w:val="00C33B77"/>
    <w:rsid w:val="00C91407"/>
    <w:rsid w:val="00C91985"/>
    <w:rsid w:val="00CA0FF2"/>
    <w:rsid w:val="00CA17BC"/>
    <w:rsid w:val="00CA2C78"/>
    <w:rsid w:val="00CA3B02"/>
    <w:rsid w:val="00CA64FB"/>
    <w:rsid w:val="00CB065C"/>
    <w:rsid w:val="00CB3377"/>
    <w:rsid w:val="00CB4FB6"/>
    <w:rsid w:val="00CB7AC0"/>
    <w:rsid w:val="00CC7125"/>
    <w:rsid w:val="00CF799A"/>
    <w:rsid w:val="00D01847"/>
    <w:rsid w:val="00D13B6F"/>
    <w:rsid w:val="00D2381F"/>
    <w:rsid w:val="00D256D5"/>
    <w:rsid w:val="00D274FD"/>
    <w:rsid w:val="00D343C9"/>
    <w:rsid w:val="00D55FF2"/>
    <w:rsid w:val="00D66559"/>
    <w:rsid w:val="00D86D6A"/>
    <w:rsid w:val="00DC3023"/>
    <w:rsid w:val="00DC3639"/>
    <w:rsid w:val="00DD5356"/>
    <w:rsid w:val="00DF4E5C"/>
    <w:rsid w:val="00DF626F"/>
    <w:rsid w:val="00E0146F"/>
    <w:rsid w:val="00E01556"/>
    <w:rsid w:val="00E10D0E"/>
    <w:rsid w:val="00E57535"/>
    <w:rsid w:val="00E623D3"/>
    <w:rsid w:val="00E63C64"/>
    <w:rsid w:val="00E64336"/>
    <w:rsid w:val="00E80633"/>
    <w:rsid w:val="00E914A4"/>
    <w:rsid w:val="00EA2032"/>
    <w:rsid w:val="00EA59C3"/>
    <w:rsid w:val="00EA5BD8"/>
    <w:rsid w:val="00EB44F7"/>
    <w:rsid w:val="00F12675"/>
    <w:rsid w:val="00F41E9C"/>
    <w:rsid w:val="00F4574C"/>
    <w:rsid w:val="00F72435"/>
    <w:rsid w:val="00F733C6"/>
    <w:rsid w:val="00F73BB8"/>
    <w:rsid w:val="00F91B60"/>
    <w:rsid w:val="00FC1812"/>
    <w:rsid w:val="00FE5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E2553"/>
    <w:rPr>
      <w:color w:val="808080"/>
    </w:rPr>
  </w:style>
  <w:style w:type="paragraph" w:customStyle="1" w:styleId="EB47251665E24480B497F5A2B814D928">
    <w:name w:val="EB47251665E24480B497F5A2B814D928"/>
    <w:rsid w:val="005E2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4747439C0B647B616FA7E3F1B2305" ma:contentTypeVersion="6" ma:contentTypeDescription="Utwórz nowy dokument." ma:contentTypeScope="" ma:versionID="7fc7c7ffd8ae97f25f48e60800400194">
  <xsd:schema xmlns:xsd="http://www.w3.org/2001/XMLSchema" xmlns:xs="http://www.w3.org/2001/XMLSchema" xmlns:p="http://schemas.microsoft.com/office/2006/metadata/properties" xmlns:ns2="5b5a2487-2725-421d-ad15-419c6be49172" xmlns:ns3="2c478492-1ef5-4c4f-aa15-8a2a44805612" targetNamespace="http://schemas.microsoft.com/office/2006/metadata/properties" ma:root="true" ma:fieldsID="f66510f158c7c54a9cb08fb5fe441200" ns2:_="" ns3:_="">
    <xsd:import namespace="5b5a2487-2725-421d-ad15-419c6be49172"/>
    <xsd:import namespace="2c478492-1ef5-4c4f-aa15-8a2a44805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a2487-2725-421d-ad15-419c6be49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8492-1ef5-4c4f-aa15-8a2a4480561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B296D-E1D8-4785-904D-0EE80FB1E851}">
  <ds:schemaRefs>
    <ds:schemaRef ds:uri="http://schemas.openxmlformats.org/officeDocument/2006/bibliography"/>
  </ds:schemaRefs>
</ds:datastoreItem>
</file>

<file path=customXml/itemProps2.xml><?xml version="1.0" encoding="utf-8"?>
<ds:datastoreItem xmlns:ds="http://schemas.openxmlformats.org/officeDocument/2006/customXml" ds:itemID="{C60EB416-250D-42D8-A433-38811F1F6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805019-7E95-4180-9BE6-1ED2AA1F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a2487-2725-421d-ad15-419c6be49172"/>
    <ds:schemaRef ds:uri="2c478492-1ef5-4c4f-aa15-8a2a4480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932A7-17FD-4ED3-A07E-F72D49231043}">
  <ds:schemaRefs>
    <ds:schemaRef ds:uri="http://schemas.microsoft.com/sharepoint/v3/contenttype/forms"/>
  </ds:schemaRefs>
</ds:datastoreItem>
</file>

<file path=docMetadata/LabelInfo.xml><?xml version="1.0" encoding="utf-8"?>
<clbl:labelList xmlns:clbl="http://schemas.microsoft.com/office/2020/mipLabelMetadata">
  <clbl:label id="{0f96dfc4-c60b-4e4c-b906-259fa5894e41}" enabled="1" method="Standard" siteId="{a1e6fb11-243f-4819-a918-27d0e2c22e9d}" removed="0"/>
</clbl:labelList>
</file>

<file path=docProps/app.xml><?xml version="1.0" encoding="utf-8"?>
<Properties xmlns="http://schemas.openxmlformats.org/officeDocument/2006/extended-properties" xmlns:vt="http://schemas.openxmlformats.org/officeDocument/2006/docPropsVTypes">
  <Template>Normal</Template>
  <TotalTime>72</TotalTime>
  <Pages>23</Pages>
  <Words>13562</Words>
  <Characters>81374</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94747</CharactersWithSpaces>
  <SharedDoc>false</SharedDoc>
  <HLinks>
    <vt:vector size="6" baseType="variant">
      <vt:variant>
        <vt:i4>6094956</vt:i4>
      </vt:variant>
      <vt:variant>
        <vt:i4>0</vt:i4>
      </vt:variant>
      <vt:variant>
        <vt:i4>0</vt:i4>
      </vt:variant>
      <vt:variant>
        <vt:i4>5</vt:i4>
      </vt:variant>
      <vt:variant>
        <vt:lpwstr>mailto:dep-pl@mz.gov.pl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Dudziec Agnieszka</dc:creator>
  <cp:keywords/>
  <dc:description/>
  <cp:lastModifiedBy>Budziszewska-Makulska Alina</cp:lastModifiedBy>
  <cp:revision>8</cp:revision>
  <cp:lastPrinted>2025-02-20T10:06:00Z</cp:lastPrinted>
  <dcterms:created xsi:type="dcterms:W3CDTF">2025-05-20T08:08:00Z</dcterms:created>
  <dcterms:modified xsi:type="dcterms:W3CDTF">2025-05-20T13:23:00Z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0x010100A404747439C0B647B616FA7E3F1B2305</vt:lpwstr>
  </property>
</Properties>
</file>