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E3FE" w14:textId="77777777" w:rsidR="00560E3C" w:rsidRDefault="00560E3C">
      <w:pPr>
        <w:widowControl/>
        <w:autoSpaceDE/>
        <w:autoSpaceDN/>
        <w:adjustRightInd/>
      </w:pPr>
    </w:p>
    <w:p w14:paraId="4E6B611D" w14:textId="5F62A810" w:rsidR="004F5B12" w:rsidRPr="008A2802" w:rsidRDefault="004F5B12" w:rsidP="004F5B12">
      <w:pPr>
        <w:pStyle w:val="TEKSTZacznikido"/>
      </w:pPr>
      <w:r w:rsidRPr="008A2802">
        <w:t xml:space="preserve">Załącznik do rozporządzenia Ministra </w:t>
      </w:r>
      <w:r w:rsidR="00F27A67" w:rsidRPr="008A2802">
        <w:t xml:space="preserve">Zdrowia z dnia </w:t>
      </w:r>
      <w:r w:rsidR="008C2A7B" w:rsidRPr="008A2802">
        <w:t>………</w:t>
      </w:r>
      <w:r w:rsidR="00F27A67" w:rsidRPr="008A2802">
        <w:t xml:space="preserve">… </w:t>
      </w:r>
      <w:r w:rsidRPr="008A2802">
        <w:t>(poz. …)</w:t>
      </w:r>
    </w:p>
    <w:p w14:paraId="347935A5" w14:textId="77777777" w:rsidR="004F5B12" w:rsidRPr="008A2802" w:rsidRDefault="004F5B12" w:rsidP="004F5B12">
      <w:pPr>
        <w:pStyle w:val="TYTUAKTUprzedmiotregulacjiustawylubrozporzdzenia"/>
      </w:pPr>
      <w:r w:rsidRPr="008A2802">
        <w:t>Sposób podziału części zasadniczej środków finansowych na utrzymanie i rozwój potencjału dydaktycznego</w:t>
      </w:r>
      <w:r w:rsidR="007961CF" w:rsidRPr="008A2802">
        <w:t xml:space="preserve"> oraz</w:t>
      </w:r>
      <w:r w:rsidRPr="008A2802">
        <w:t xml:space="preserve"> potencjału badawczego </w:t>
      </w:r>
      <w:r w:rsidR="00C67DCF" w:rsidRPr="008A2802">
        <w:t>dla uczelni medycznych nadzorowanych przez ministra właściwego do spraw zdrowia</w:t>
      </w:r>
    </w:p>
    <w:p w14:paraId="290BC92B" w14:textId="77777777" w:rsidR="006715A1" w:rsidRPr="008A2802" w:rsidRDefault="004F5B12" w:rsidP="00384FBF">
      <w:pPr>
        <w:pStyle w:val="USTustnpkodeksu"/>
        <w:keepNext/>
      </w:pPr>
      <w:r w:rsidRPr="008A2802">
        <w:t>1. </w:t>
      </w:r>
      <w:r w:rsidR="000804FE" w:rsidRPr="008A2802">
        <w:t>C</w:t>
      </w:r>
      <w:r w:rsidRPr="008A2802">
        <w:t>zęś</w:t>
      </w:r>
      <w:r w:rsidR="000804FE" w:rsidRPr="008A2802">
        <w:t>ć</w:t>
      </w:r>
      <w:r w:rsidRPr="008A2802">
        <w:t xml:space="preserve"> zasadnicz</w:t>
      </w:r>
      <w:r w:rsidR="0038091F" w:rsidRPr="008A2802">
        <w:t>a</w:t>
      </w:r>
      <w:r w:rsidRPr="008A2802">
        <w:t xml:space="preserve"> środków finansowych na utrzymanie i rozwój potencjału dydaktycznego oraz potencjału badawczego dla uczelni </w:t>
      </w:r>
      <w:r w:rsidR="000804FE" w:rsidRPr="008A2802">
        <w:t xml:space="preserve">medycznych </w:t>
      </w:r>
      <w:r w:rsidRPr="008A2802">
        <w:t xml:space="preserve">nadzorowanych przez ministra </w:t>
      </w:r>
      <w:r w:rsidR="006715A1" w:rsidRPr="008A2802">
        <w:t>dzielon</w:t>
      </w:r>
      <w:r w:rsidR="000804FE" w:rsidRPr="008A2802">
        <w:t xml:space="preserve">a jest </w:t>
      </w:r>
      <w:r w:rsidR="006715A1" w:rsidRPr="008A2802">
        <w:t>według algorytmu:</w:t>
      </w:r>
    </w:p>
    <w:p w14:paraId="44314260" w14:textId="7D31A274" w:rsidR="006A5564" w:rsidRPr="008A2802" w:rsidRDefault="00D425F8" w:rsidP="00B25B1E">
      <w:pPr>
        <w:pStyle w:val="ODNONIKtreodnonika"/>
        <w:ind w:left="0" w:firstLine="0"/>
        <w:rPr>
          <w:rFonts w:cs="Times New Roman"/>
          <w:sz w:val="17"/>
          <w:szCs w:val="17"/>
        </w:rPr>
      </w:pPr>
      <m:oMath>
        <m:sSub>
          <m:sSubPr>
            <m:ctrlPr>
              <w:rPr>
                <w:rFonts w:ascii="Cambria Math" w:hAnsi="Cambria Math" w:cs="Times New Roman"/>
                <w:sz w:val="18"/>
                <w:szCs w:val="1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18"/>
              </w:rPr>
              <m:t>Du</m:t>
            </m:r>
          </m:e>
          <m:sub>
            <m:r>
              <w:rPr>
                <w:rFonts w:ascii="Cambria Math" w:hAnsi="Cambria Math" w:cs="Times New Roman"/>
                <w:sz w:val="18"/>
                <w:szCs w:val="1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18"/>
            <w:szCs w:val="18"/>
          </w:rPr>
          <m:t>=</m:t>
        </m:r>
        <m:r>
          <w:rPr>
            <w:rFonts w:ascii="Cambria Math" w:hAnsi="Cambria Math" w:cs="Times New Roman"/>
            <w:sz w:val="18"/>
            <w:szCs w:val="18"/>
          </w:rPr>
          <m:t>Du</m:t>
        </m:r>
        <m:r>
          <m:rPr>
            <m:sty m:val="p"/>
          </m:rPr>
          <w:rPr>
            <w:rFonts w:ascii="Cambria Math" w:hAnsi="Cambria Math" w:cs="Times New Roman"/>
            <w:sz w:val="18"/>
            <w:szCs w:val="18"/>
          </w:rPr>
          <m:t xml:space="preserve"> ×</m:t>
        </m:r>
        <m:d>
          <m:dPr>
            <m:ctrlPr>
              <w:rPr>
                <w:rFonts w:ascii="Cambria Math" w:hAnsi="Cambria Math" w:cs="Times New Roman"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Dp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ᵢ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 xml:space="preserve"> </m:t>
                </m:r>
              </m:num>
              <m:den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Dp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ᵢ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 xml:space="preserve"> </m:t>
                    </m:r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18"/>
                <w:szCs w:val="18"/>
              </w:rPr>
              <m:t>×</m:t>
            </m:r>
            <m:r>
              <w:rPr>
                <w:rFonts w:ascii="Cambria Math" w:hAnsi="Cambria Math" w:cs="Times New Roman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Times New Roman"/>
                <w:sz w:val="18"/>
                <w:szCs w:val="1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1-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C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18"/>
                <w:szCs w:val="18"/>
              </w:rPr>
              <m:t>×</m:t>
            </m:r>
            <m:d>
              <m:dPr>
                <m:ctrlPr>
                  <w:rPr>
                    <w:rFonts w:ascii="Cambria Math" w:hAnsi="Cambria Math" w:cs="Times New Roman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Ws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 xml:space="preserve"> ×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ᵢ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+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Wk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 xml:space="preserve"> ×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ᵢ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+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Wb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 xml:space="preserve"> ×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ᵢ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+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Wd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 xml:space="preserve"> ×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ᵢ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+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Wp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+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Wkl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Kl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+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Wa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i</m:t>
                    </m:r>
                  </m:sub>
                </m:sSub>
              </m:e>
            </m:d>
          </m:e>
        </m:d>
      </m:oMath>
      <w:r w:rsidR="00E75C3D" w:rsidRPr="008A2802">
        <w:rPr>
          <w:rFonts w:cs="Times New Roman"/>
          <w:sz w:val="17"/>
          <w:szCs w:val="17"/>
        </w:rPr>
        <w:t xml:space="preserve"> </w:t>
      </w:r>
    </w:p>
    <w:p w14:paraId="30CC28DB" w14:textId="77777777" w:rsidR="004F5B12" w:rsidRPr="008A2802" w:rsidRDefault="004F5B12" w:rsidP="00384FBF">
      <w:pPr>
        <w:jc w:val="both"/>
      </w:pPr>
      <w:r w:rsidRPr="008A2802">
        <w:t>gdzie:</w:t>
      </w:r>
    </w:p>
    <w:p w14:paraId="23481414" w14:textId="466D571F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Du</w:t>
      </w:r>
      <w:r w:rsidRPr="008A2802">
        <w:rPr>
          <w:rStyle w:val="IDKindeksdolnyikursywa"/>
        </w:rPr>
        <w:t>i</w:t>
      </w:r>
      <w:r w:rsidR="00EC70A4" w:rsidRPr="008A2802">
        <w:tab/>
      </w:r>
      <w:r w:rsidRPr="008A2802">
        <w:t>−</w:t>
      </w:r>
      <w:r w:rsidR="004B5274" w:rsidRPr="008A2802">
        <w:t xml:space="preserve"> </w:t>
      </w:r>
      <w:r w:rsidRPr="008A2802">
        <w:t>oznacza wysokość subwencji na utrzymanie i rozwój potencjału dydaktycznego</w:t>
      </w:r>
      <w:r w:rsidR="001833C3" w:rsidRPr="008A2802">
        <w:t xml:space="preserve"> oraz</w:t>
      </w:r>
      <w:r w:rsidR="00CE5602" w:rsidRPr="008A2802">
        <w:t xml:space="preserve"> </w:t>
      </w:r>
      <w:r w:rsidR="001833C3" w:rsidRPr="008A2802">
        <w:t xml:space="preserve">potencjału badawczego, zwanych dalej „subwencją”, z części zasadniczej dla </w:t>
      </w:r>
      <w:r w:rsidR="001833C3"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483432">
        <w:t xml:space="preserve">– </w:t>
      </w:r>
      <w:r w:rsidR="001833C3" w:rsidRPr="008A2802">
        <w:t>tej</w:t>
      </w:r>
      <w:r w:rsidR="00CE5602" w:rsidRPr="008A2802">
        <w:t xml:space="preserve"> </w:t>
      </w:r>
      <w:r w:rsidR="000379B5" w:rsidRPr="008A2802">
        <w:t>uczelni medycznej</w:t>
      </w:r>
      <w:r w:rsidR="001833C3" w:rsidRPr="008A2802">
        <w:t xml:space="preserve"> w danym roku,</w:t>
      </w:r>
    </w:p>
    <w:p w14:paraId="1F3717C9" w14:textId="77777777" w:rsidR="004B5274" w:rsidRPr="008A2802" w:rsidRDefault="004B5274" w:rsidP="00F57E59">
      <w:pPr>
        <w:pStyle w:val="TIRtiret"/>
        <w:ind w:left="1276" w:hanging="709"/>
      </w:pPr>
      <w:r w:rsidRPr="008A2802">
        <w:rPr>
          <w:rStyle w:val="Kkursywa"/>
        </w:rPr>
        <w:t>Du</w:t>
      </w:r>
      <w:r w:rsidR="00F57E59" w:rsidRPr="008A2802">
        <w:rPr>
          <w:rStyle w:val="Kkursywa"/>
        </w:rPr>
        <w:tab/>
      </w:r>
      <w:r w:rsidRPr="008A2802">
        <w:rPr>
          <w:rStyle w:val="Kkursywa"/>
        </w:rPr>
        <w:t xml:space="preserve">– </w:t>
      </w:r>
      <w:r w:rsidRPr="008A2802">
        <w:rPr>
          <w:rStyle w:val="Kkursywa"/>
          <w:i w:val="0"/>
        </w:rPr>
        <w:t xml:space="preserve">oznacza kwotę przyjętą do obliczania części zasadniczej </w:t>
      </w:r>
      <w:r w:rsidR="00273FB0" w:rsidRPr="008A2802">
        <w:rPr>
          <w:rStyle w:val="Kkursywa"/>
          <w:i w:val="0"/>
        </w:rPr>
        <w:t>dla uczelni medycznych w danym roku,</w:t>
      </w:r>
    </w:p>
    <w:p w14:paraId="1F984FAA" w14:textId="0D785214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Dp</w:t>
      </w:r>
      <w:r w:rsidR="004F0C8C" w:rsidRPr="008A2802">
        <w:rPr>
          <w:rStyle w:val="Kkursywa"/>
          <w:vertAlign w:val="subscript"/>
        </w:rPr>
        <w:t>i</w:t>
      </w:r>
      <w:r w:rsidR="00F57E59" w:rsidRPr="008A2802">
        <w:tab/>
      </w:r>
      <w:r w:rsidRPr="008A2802">
        <w:t>−</w:t>
      </w:r>
      <w:r w:rsidR="004F0C8C" w:rsidRPr="008A2802">
        <w:t xml:space="preserve"> </w:t>
      </w:r>
      <w:r w:rsidRPr="008A2802">
        <w:t xml:space="preserve">oznacza wysokość subwencji dla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B87F06" w:rsidRPr="00B87F06">
        <w:t>–</w:t>
      </w:r>
      <w:r w:rsidR="00483432">
        <w:t xml:space="preserve"> </w:t>
      </w:r>
      <w:r w:rsidRPr="008A2802">
        <w:t xml:space="preserve">tej </w:t>
      </w:r>
      <w:r w:rsidR="000379B5" w:rsidRPr="008A2802">
        <w:t>uczelni medycznej</w:t>
      </w:r>
      <w:r w:rsidR="00DB1A10" w:rsidRPr="008A2802">
        <w:t xml:space="preserve"> </w:t>
      </w:r>
      <w:r w:rsidRPr="008A2802">
        <w:t>w poprzednim</w:t>
      </w:r>
      <w:r w:rsidR="004F0C8C" w:rsidRPr="008A2802">
        <w:t xml:space="preserve"> </w:t>
      </w:r>
      <w:r w:rsidRPr="008A2802">
        <w:t>roku, w warunkach porównywalnych,</w:t>
      </w:r>
    </w:p>
    <w:p w14:paraId="3134F7D6" w14:textId="77777777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C</w:t>
      </w:r>
      <w:r w:rsidR="00F57E59" w:rsidRPr="008A2802">
        <w:rPr>
          <w:rStyle w:val="Kkursywa"/>
        </w:rPr>
        <w:tab/>
      </w:r>
      <w:r w:rsidRPr="008A2802">
        <w:t>−</w:t>
      </w:r>
      <w:r w:rsidR="002B6B82" w:rsidRPr="008A2802">
        <w:t xml:space="preserve"> </w:t>
      </w:r>
      <w:r w:rsidRPr="008A2802">
        <w:t>oznacza stałą przeniesienia,</w:t>
      </w:r>
    </w:p>
    <w:p w14:paraId="5814A6BB" w14:textId="77777777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Ws</w:t>
      </w:r>
      <w:r w:rsidR="00F57E59" w:rsidRPr="008A2802">
        <w:tab/>
      </w:r>
      <w:r w:rsidRPr="008A2802">
        <w:t>−</w:t>
      </w:r>
      <w:r w:rsidR="00370D74" w:rsidRPr="008A2802">
        <w:t xml:space="preserve"> </w:t>
      </w:r>
      <w:r w:rsidRPr="008A2802">
        <w:t>oznacza wagę składnika studenckiego,</w:t>
      </w:r>
    </w:p>
    <w:p w14:paraId="2B4D338B" w14:textId="0C3AB909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S</w:t>
      </w:r>
      <w:r w:rsidRPr="008A2802">
        <w:rPr>
          <w:rStyle w:val="IDKindeksdolnyikursywa"/>
        </w:rPr>
        <w:t>i</w:t>
      </w:r>
      <w:r w:rsidR="00F57E59" w:rsidRPr="008A2802">
        <w:tab/>
      </w:r>
      <w:r w:rsidRPr="008A2802">
        <w:t>−</w:t>
      </w:r>
      <w:r w:rsidR="00370D74" w:rsidRPr="008A2802">
        <w:t xml:space="preserve"> </w:t>
      </w:r>
      <w:r w:rsidRPr="008A2802">
        <w:t xml:space="preserve">oznacza składnik studencki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483DDA" w:rsidRPr="00483DDA">
        <w:t>–</w:t>
      </w:r>
      <w:r w:rsidR="00483432">
        <w:t xml:space="preserve"> </w:t>
      </w:r>
      <w:r w:rsidRPr="008A2802">
        <w:t xml:space="preserve">tej </w:t>
      </w:r>
      <w:r w:rsidR="000379B5" w:rsidRPr="008A2802">
        <w:t>uczelni medycznej</w:t>
      </w:r>
      <w:r w:rsidRPr="008A2802">
        <w:t>,</w:t>
      </w:r>
    </w:p>
    <w:p w14:paraId="4BBF2CA5" w14:textId="1BEA7A4F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Wk</w:t>
      </w:r>
      <w:r w:rsidR="00F57E59" w:rsidRPr="008A2802">
        <w:tab/>
      </w:r>
      <w:r w:rsidRPr="008A2802">
        <w:t>−</w:t>
      </w:r>
      <w:r w:rsidR="00370D74" w:rsidRPr="008A2802">
        <w:t xml:space="preserve"> </w:t>
      </w:r>
      <w:r w:rsidRPr="008A2802">
        <w:t>oznacza wagę składnika kadrowego,</w:t>
      </w:r>
      <w:r w:rsidR="00483DDA">
        <w:t xml:space="preserve"> </w:t>
      </w:r>
    </w:p>
    <w:p w14:paraId="002084EC" w14:textId="15F7A725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K</w:t>
      </w:r>
      <w:r w:rsidRPr="008A2802">
        <w:rPr>
          <w:rStyle w:val="IDKindeksdolnyikursywa"/>
        </w:rPr>
        <w:t>i</w:t>
      </w:r>
      <w:r w:rsidR="00F57E59" w:rsidRPr="008A2802">
        <w:tab/>
      </w:r>
      <w:r w:rsidRPr="008A2802">
        <w:t>−</w:t>
      </w:r>
      <w:r w:rsidR="00370D74" w:rsidRPr="008A2802">
        <w:t xml:space="preserve"> </w:t>
      </w:r>
      <w:r w:rsidRPr="008A2802">
        <w:t xml:space="preserve">oznacza składnik kadrowy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483DDA" w:rsidRPr="00483DDA">
        <w:t>–</w:t>
      </w:r>
      <w:r w:rsidR="00483432">
        <w:t xml:space="preserve"> </w:t>
      </w:r>
      <w:r w:rsidRPr="008A2802">
        <w:t xml:space="preserve">tej </w:t>
      </w:r>
      <w:r w:rsidR="000379B5" w:rsidRPr="008A2802">
        <w:t>uczelni medycznej</w:t>
      </w:r>
      <w:r w:rsidRPr="008A2802">
        <w:t>,</w:t>
      </w:r>
      <w:r w:rsidR="00483DDA">
        <w:t xml:space="preserve"> </w:t>
      </w:r>
    </w:p>
    <w:p w14:paraId="4AC2EB7E" w14:textId="77777777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Wb</w:t>
      </w:r>
      <w:r w:rsidR="00F57E59" w:rsidRPr="008A2802">
        <w:tab/>
      </w:r>
      <w:r w:rsidRPr="008A2802">
        <w:t>−</w:t>
      </w:r>
      <w:r w:rsidR="00370D74" w:rsidRPr="008A2802">
        <w:t xml:space="preserve"> </w:t>
      </w:r>
      <w:r w:rsidRPr="008A2802">
        <w:t>oznacza wagę składnika badawczego,</w:t>
      </w:r>
    </w:p>
    <w:p w14:paraId="32D113A5" w14:textId="5FB7945C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B</w:t>
      </w:r>
      <w:r w:rsidRPr="008A2802">
        <w:rPr>
          <w:rStyle w:val="IDKindeksdolnyikursywa"/>
        </w:rPr>
        <w:t>i</w:t>
      </w:r>
      <w:r w:rsidR="004F0C8C" w:rsidRPr="008A2802">
        <w:rPr>
          <w:rStyle w:val="IDKindeksdolnyikursywa"/>
        </w:rPr>
        <w:t xml:space="preserve"> </w:t>
      </w:r>
      <w:r w:rsidR="00F57E59" w:rsidRPr="008A2802">
        <w:tab/>
      </w:r>
      <w:r w:rsidRPr="008A2802">
        <w:t>−</w:t>
      </w:r>
      <w:r w:rsidR="00370D74" w:rsidRPr="008A2802">
        <w:t xml:space="preserve"> </w:t>
      </w:r>
      <w:r w:rsidRPr="008A2802">
        <w:t xml:space="preserve">oznacza składnik badawczy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483DDA" w:rsidRPr="00483DDA">
        <w:t>–</w:t>
      </w:r>
      <w:r w:rsidR="00483432">
        <w:t xml:space="preserve"> </w:t>
      </w:r>
      <w:r w:rsidRPr="008A2802">
        <w:t xml:space="preserve">tej </w:t>
      </w:r>
      <w:r w:rsidR="000379B5" w:rsidRPr="008A2802">
        <w:t>uczelni medycznej</w:t>
      </w:r>
      <w:r w:rsidRPr="008A2802">
        <w:t>,</w:t>
      </w:r>
      <w:r w:rsidR="00483DDA">
        <w:t xml:space="preserve"> </w:t>
      </w:r>
    </w:p>
    <w:p w14:paraId="19EB76BD" w14:textId="77777777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Wd</w:t>
      </w:r>
      <w:r w:rsidR="00F57E59" w:rsidRPr="008A2802">
        <w:tab/>
      </w:r>
      <w:r w:rsidRPr="008A2802">
        <w:t>−</w:t>
      </w:r>
      <w:r w:rsidR="00370D74" w:rsidRPr="008A2802">
        <w:t xml:space="preserve"> </w:t>
      </w:r>
      <w:r w:rsidRPr="008A2802">
        <w:t>oznacza wagę składnika doktoranckiego,</w:t>
      </w:r>
    </w:p>
    <w:p w14:paraId="7936E34F" w14:textId="3D1A1376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D</w:t>
      </w:r>
      <w:r w:rsidRPr="008A2802">
        <w:rPr>
          <w:rStyle w:val="IDKindeksdolnyikursywa"/>
        </w:rPr>
        <w:t>i</w:t>
      </w:r>
      <w:r w:rsidR="00F57E59" w:rsidRPr="008A2802">
        <w:tab/>
      </w:r>
      <w:r w:rsidRPr="008A2802">
        <w:t>−</w:t>
      </w:r>
      <w:r w:rsidR="00370D74" w:rsidRPr="008A2802">
        <w:t xml:space="preserve"> </w:t>
      </w:r>
      <w:r w:rsidRPr="008A2802">
        <w:t xml:space="preserve">oznacza składnik doktorancki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483DDA" w:rsidRPr="00483DDA">
        <w:t>–</w:t>
      </w:r>
      <w:r w:rsidR="00483432">
        <w:t xml:space="preserve"> </w:t>
      </w:r>
      <w:r w:rsidRPr="008A2802">
        <w:t xml:space="preserve">tej </w:t>
      </w:r>
      <w:r w:rsidR="000379B5" w:rsidRPr="008A2802">
        <w:t>uczelni medycznej</w:t>
      </w:r>
      <w:r w:rsidRPr="008A2802">
        <w:t>,</w:t>
      </w:r>
      <w:r w:rsidR="00483DDA">
        <w:t xml:space="preserve"> </w:t>
      </w:r>
    </w:p>
    <w:p w14:paraId="1F0F75ED" w14:textId="77777777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Wp</w:t>
      </w:r>
      <w:r w:rsidR="00F57E59" w:rsidRPr="008A2802">
        <w:rPr>
          <w:rStyle w:val="Kkursywa"/>
        </w:rPr>
        <w:tab/>
      </w:r>
      <w:r w:rsidRPr="008A2802">
        <w:t>‒</w:t>
      </w:r>
      <w:r w:rsidR="00370D74" w:rsidRPr="008A2802">
        <w:t xml:space="preserve"> </w:t>
      </w:r>
      <w:r w:rsidRPr="008A2802">
        <w:t>oznacza wagę składnika projektowego,</w:t>
      </w:r>
    </w:p>
    <w:p w14:paraId="2F2BCD1B" w14:textId="0ECECA8C" w:rsidR="004F5B12" w:rsidRPr="008A2802" w:rsidRDefault="004F5B12" w:rsidP="00F57E59">
      <w:pPr>
        <w:pStyle w:val="TIRtiret"/>
        <w:ind w:left="1276" w:hanging="709"/>
      </w:pPr>
      <w:r w:rsidRPr="008A2802">
        <w:rPr>
          <w:rStyle w:val="Kkursywa"/>
        </w:rPr>
        <w:t>P</w:t>
      </w:r>
      <w:r w:rsidRPr="008A2802">
        <w:rPr>
          <w:rStyle w:val="IDKindeksdolnyikursywa"/>
        </w:rPr>
        <w:t>i</w:t>
      </w:r>
      <w:r w:rsidR="00F57E59" w:rsidRPr="008A2802">
        <w:tab/>
      </w:r>
      <w:r w:rsidRPr="008A2802">
        <w:t>‒</w:t>
      </w:r>
      <w:r w:rsidR="00370D74" w:rsidRPr="008A2802">
        <w:t xml:space="preserve"> </w:t>
      </w:r>
      <w:r w:rsidRPr="008A2802">
        <w:t xml:space="preserve">oznacza składnik projektowy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483DDA" w:rsidRPr="00483DDA">
        <w:t>–</w:t>
      </w:r>
      <w:r w:rsidR="00483432">
        <w:t xml:space="preserve"> </w:t>
      </w:r>
      <w:r w:rsidRPr="008A2802">
        <w:t xml:space="preserve">tej </w:t>
      </w:r>
      <w:r w:rsidR="000379B5" w:rsidRPr="008A2802">
        <w:t>uczelni medycznej</w:t>
      </w:r>
      <w:r w:rsidRPr="008A2802">
        <w:t>,</w:t>
      </w:r>
      <w:r w:rsidR="00483DDA">
        <w:t xml:space="preserve"> </w:t>
      </w:r>
    </w:p>
    <w:p w14:paraId="2D5737AC" w14:textId="6B96B9F3" w:rsidR="007B4823" w:rsidRPr="008A2802" w:rsidRDefault="007B4823" w:rsidP="007B4823">
      <w:pPr>
        <w:pStyle w:val="TIRtiret"/>
        <w:ind w:left="1276" w:hanging="709"/>
      </w:pPr>
      <w:r w:rsidRPr="008A2802">
        <w:rPr>
          <w:rStyle w:val="Kkursywa"/>
        </w:rPr>
        <w:t>Wkl</w:t>
      </w:r>
      <w:r w:rsidRPr="008A2802">
        <w:rPr>
          <w:rStyle w:val="Kkursywa"/>
        </w:rPr>
        <w:tab/>
      </w:r>
      <w:r w:rsidRPr="008A2802">
        <w:t>‒ oznacza wagę składnika klinicznego,</w:t>
      </w:r>
    </w:p>
    <w:p w14:paraId="22F2B9EF" w14:textId="385BFE45" w:rsidR="007B4823" w:rsidRPr="008A2802" w:rsidRDefault="007B4823" w:rsidP="007B4823">
      <w:pPr>
        <w:pStyle w:val="TIRtiret"/>
        <w:ind w:left="1276" w:hanging="709"/>
      </w:pPr>
      <w:r w:rsidRPr="008A2802">
        <w:rPr>
          <w:rStyle w:val="Kkursywa"/>
        </w:rPr>
        <w:t>Kl</w:t>
      </w:r>
      <w:r w:rsidRPr="008A2802">
        <w:rPr>
          <w:rStyle w:val="IDKindeksdolnyikursywa"/>
        </w:rPr>
        <w:t>i</w:t>
      </w:r>
      <w:r w:rsidRPr="008A2802">
        <w:tab/>
        <w:t xml:space="preserve">‒ oznacza składnik </w:t>
      </w:r>
      <w:r w:rsidR="002C11D5" w:rsidRPr="008A2802">
        <w:t>kliniczny</w:t>
      </w:r>
      <w:r w:rsidRPr="008A2802">
        <w:t xml:space="preserve"> </w:t>
      </w:r>
      <w:r w:rsidRPr="008A2802">
        <w:rPr>
          <w:rStyle w:val="Kkursywa"/>
        </w:rPr>
        <w:t>i</w:t>
      </w:r>
      <w:r w:rsidR="00483DDA" w:rsidRPr="00483DDA">
        <w:t>–</w:t>
      </w:r>
      <w:r w:rsidRPr="008A2802">
        <w:t>tej uczelni medycznej</w:t>
      </w:r>
      <w:r w:rsidR="002C11D5" w:rsidRPr="008A2802">
        <w:t>,</w:t>
      </w:r>
      <w:r w:rsidR="00483DDA">
        <w:t xml:space="preserve"> </w:t>
      </w:r>
    </w:p>
    <w:p w14:paraId="19FC8AAA" w14:textId="1B769BC6" w:rsidR="002C11D5" w:rsidRPr="008A2802" w:rsidRDefault="002C11D5" w:rsidP="002C11D5">
      <w:pPr>
        <w:pStyle w:val="TIRtiret"/>
        <w:ind w:left="1276" w:hanging="709"/>
      </w:pPr>
      <w:r w:rsidRPr="008A2802">
        <w:rPr>
          <w:rStyle w:val="Kkursywa"/>
        </w:rPr>
        <w:t>Wa</w:t>
      </w:r>
      <w:r w:rsidRPr="008A2802">
        <w:rPr>
          <w:rStyle w:val="Kkursywa"/>
        </w:rPr>
        <w:tab/>
      </w:r>
      <w:r w:rsidRPr="008A2802">
        <w:t>‒ oznacza wagę składnika domów studenta,</w:t>
      </w:r>
    </w:p>
    <w:p w14:paraId="111627AB" w14:textId="68C36DAE" w:rsidR="002C11D5" w:rsidRPr="008A2802" w:rsidRDefault="002C11D5" w:rsidP="002C11D5">
      <w:pPr>
        <w:pStyle w:val="TIRtiret"/>
        <w:ind w:left="1276" w:hanging="709"/>
      </w:pPr>
      <w:r w:rsidRPr="008A2802">
        <w:rPr>
          <w:rStyle w:val="Kkursywa"/>
        </w:rPr>
        <w:t>A</w:t>
      </w:r>
      <w:r w:rsidRPr="008A2802">
        <w:rPr>
          <w:rStyle w:val="IDKindeksdolnyikursywa"/>
        </w:rPr>
        <w:t>i</w:t>
      </w:r>
      <w:r w:rsidRPr="008A2802">
        <w:tab/>
        <w:t xml:space="preserve">‒ oznacza składnik domów studenta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483DDA" w:rsidRPr="00483DDA">
        <w:t>–</w:t>
      </w:r>
      <w:r w:rsidR="00483432">
        <w:t xml:space="preserve"> </w:t>
      </w:r>
      <w:r w:rsidRPr="008A2802">
        <w:t>tej uczelni medycznej</w:t>
      </w:r>
      <w:r w:rsidR="00284888">
        <w:t>,</w:t>
      </w:r>
      <w:r w:rsidR="00483DDA">
        <w:t xml:space="preserve"> </w:t>
      </w:r>
    </w:p>
    <w:p w14:paraId="3E684DA4" w14:textId="77777777" w:rsidR="004F5B12" w:rsidRPr="008A2802" w:rsidRDefault="00370D74" w:rsidP="00F57E59">
      <w:pPr>
        <w:pStyle w:val="TIRtiret"/>
        <w:ind w:left="1276" w:hanging="709"/>
      </w:pPr>
      <w:r w:rsidRPr="008A2802">
        <w:rPr>
          <w:rStyle w:val="Kkursywa"/>
        </w:rPr>
        <w:t>n</w:t>
      </w:r>
      <w:r w:rsidR="00F57E59" w:rsidRPr="008A2802">
        <w:rPr>
          <w:rStyle w:val="Kkursywa"/>
        </w:rPr>
        <w:tab/>
      </w:r>
      <w:r w:rsidR="004F5B12" w:rsidRPr="008A2802">
        <w:t>−</w:t>
      </w:r>
      <w:r w:rsidR="001B1070" w:rsidRPr="008A2802">
        <w:t xml:space="preserve"> </w:t>
      </w:r>
      <w:r w:rsidR="004F5B12" w:rsidRPr="008A2802">
        <w:t xml:space="preserve">oznacza liczbę uczelni </w:t>
      </w:r>
      <w:r w:rsidR="00CE5602" w:rsidRPr="008A2802">
        <w:t>medycznych</w:t>
      </w:r>
      <w:r w:rsidR="001B1070" w:rsidRPr="008A2802">
        <w:t>.</w:t>
      </w:r>
    </w:p>
    <w:p w14:paraId="42775555" w14:textId="77777777" w:rsidR="00F57E59" w:rsidRPr="008A2802" w:rsidRDefault="00F57E59" w:rsidP="00F57E59">
      <w:pPr>
        <w:pStyle w:val="USTustnpkodeksu"/>
        <w:rPr>
          <w:sz w:val="12"/>
          <w:szCs w:val="12"/>
        </w:rPr>
      </w:pPr>
    </w:p>
    <w:p w14:paraId="43AF8B68" w14:textId="5C93735E" w:rsidR="002C11D5" w:rsidRPr="008A2802" w:rsidRDefault="004F5B12" w:rsidP="00384FBF">
      <w:pPr>
        <w:jc w:val="both"/>
      </w:pPr>
      <w:r w:rsidRPr="008A2802">
        <w:lastRenderedPageBreak/>
        <w:t>2.</w:t>
      </w:r>
      <w:r w:rsidR="002C11D5" w:rsidRPr="008A2802">
        <w:tab/>
      </w:r>
      <w:r w:rsidRPr="008A2802">
        <w:t xml:space="preserve">Składnik studencki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59073F" w:rsidRPr="0059073F">
        <w:t>–</w:t>
      </w:r>
      <w:r w:rsidR="00483432">
        <w:t xml:space="preserve"> </w:t>
      </w:r>
      <w:r w:rsidRPr="008A2802">
        <w:t xml:space="preserve">tej </w:t>
      </w:r>
      <w:r w:rsidR="000379B5" w:rsidRPr="008A2802">
        <w:t>uczelni medycznej</w:t>
      </w:r>
      <w:r w:rsidRPr="008A2802">
        <w:t xml:space="preserve"> oblicza się według wzoru:</w:t>
      </w:r>
    </w:p>
    <w:p w14:paraId="764FA6D0" w14:textId="7452A642" w:rsidR="00F23EF6" w:rsidRPr="008A2802" w:rsidRDefault="00D425F8" w:rsidP="002C11D5">
      <w:pPr>
        <w:jc w:val="center"/>
        <w:rPr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i</m:t>
              </m:r>
            </m:sub>
          </m:sSub>
          <m:r>
            <w:rPr>
              <w:rFonts w:ascii="Cambria Math" w:hAnsi="Cambria Math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(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k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x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  <m:t>ks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  <m:t>Ls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=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min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Lbk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5</m:t>
                  </m:r>
                  <m:r>
                    <w:rPr>
                      <w:rFonts w:ascii="Cambria Math" w:hAnsi="Cambria Math"/>
                      <w:lang w:eastAsia="en-US"/>
                    </w:rPr>
                    <m:t>Lsn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)×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n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subSup"/>
                              <m:ctrlP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en-US"/>
                                </w:rPr>
                                <m:t>k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en-US"/>
                                </w:rPr>
                                <m:t>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en-US"/>
                                </w:rPr>
                                <m:t>x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en-US"/>
                                    </w:rPr>
                                    <m:t>ks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en-US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en-US"/>
                                </w:rPr>
                                <m:t>×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en-US"/>
                                    </w:rPr>
                                    <m:t>Ls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en-US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en-US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en-US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nary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ks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=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min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× 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en-US"/>
                                </w:rPr>
                                <m:t>Lbk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en-US"/>
                                </w:rPr>
                                <m:t>5</m:t>
                              </m:r>
                              <m:r>
                                <w:rPr>
                                  <w:rFonts w:ascii="Cambria Math" w:hAnsi="Cambria Math"/>
                                  <w:lang w:eastAsia="en-US"/>
                                </w:rPr>
                                <m:t>Lsn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den>
          </m:f>
        </m:oMath>
      </m:oMathPara>
    </w:p>
    <w:p w14:paraId="68BF6588" w14:textId="77777777" w:rsidR="004F5B12" w:rsidRPr="008A2802" w:rsidRDefault="004F5B12" w:rsidP="00F57E59">
      <w:pPr>
        <w:pStyle w:val="LITlitera"/>
        <w:ind w:left="284" w:hanging="284"/>
      </w:pPr>
      <w:r w:rsidRPr="008A2802">
        <w:t>gdzie:</w:t>
      </w:r>
    </w:p>
    <w:p w14:paraId="11A708DF" w14:textId="1E7A72FC" w:rsidR="004F5B12" w:rsidRPr="008A2802" w:rsidRDefault="004F5B12" w:rsidP="00861810">
      <w:pPr>
        <w:pStyle w:val="TIRtiret"/>
        <w:ind w:left="1134" w:hanging="567"/>
      </w:pPr>
      <w:r w:rsidRPr="008A2802">
        <w:rPr>
          <w:rStyle w:val="Kkursywa"/>
        </w:rPr>
        <w:t>x</w:t>
      </w:r>
      <w:r w:rsidR="00217E72" w:rsidRPr="008A2802">
        <w:tab/>
      </w:r>
      <w:r w:rsidRPr="008A2802">
        <w:t>−</w:t>
      </w:r>
      <w:r w:rsidR="00CC4633" w:rsidRPr="008A2802">
        <w:t xml:space="preserve"> </w:t>
      </w:r>
      <w:r w:rsidRPr="008A2802">
        <w:t>oznacza liczbę kierunków studiów stacjonarnych prowadzonych na określonym poziomie</w:t>
      </w:r>
      <w:r w:rsidR="000379B5" w:rsidRPr="008A2802">
        <w:t xml:space="preserve"> </w:t>
      </w:r>
      <w:r w:rsidRPr="008A2802">
        <w:t xml:space="preserve">i profilu w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59073F" w:rsidRPr="0059073F">
        <w:t>–</w:t>
      </w:r>
      <w:r w:rsidR="00483432">
        <w:t xml:space="preserve"> </w:t>
      </w:r>
      <w:r w:rsidRPr="008A2802">
        <w:t xml:space="preserve">tej </w:t>
      </w:r>
      <w:r w:rsidR="000379B5" w:rsidRPr="008A2802">
        <w:t>uczelni medycznej</w:t>
      </w:r>
      <w:r w:rsidRPr="008A2802">
        <w:t>,</w:t>
      </w:r>
      <w:r w:rsidR="0059073F">
        <w:t xml:space="preserve"> </w:t>
      </w:r>
    </w:p>
    <w:p w14:paraId="500C0D28" w14:textId="1E97BAEF" w:rsidR="004F5B12" w:rsidRPr="008A2802" w:rsidRDefault="004F5B12" w:rsidP="00861810">
      <w:pPr>
        <w:pStyle w:val="TIRtiret"/>
        <w:ind w:left="1134" w:hanging="567"/>
      </w:pPr>
      <w:r w:rsidRPr="008A2802">
        <w:rPr>
          <w:rStyle w:val="Kkursywa"/>
        </w:rPr>
        <w:t>ks</w:t>
      </w:r>
      <w:r w:rsidRPr="008A2802">
        <w:rPr>
          <w:rStyle w:val="IDKindeksdolnyikursywa"/>
        </w:rPr>
        <w:t>k</w:t>
      </w:r>
      <w:r w:rsidR="00217E72" w:rsidRPr="008A2802">
        <w:tab/>
      </w:r>
      <w:r w:rsidRPr="008A2802">
        <w:t>−</w:t>
      </w:r>
      <w:r w:rsidR="00CC4633" w:rsidRPr="008A2802">
        <w:t xml:space="preserve"> </w:t>
      </w:r>
      <w:r w:rsidRPr="008A2802">
        <w:t>oznacza współczynnik kosztochłonności prowadzenia kształcenia na studiach</w:t>
      </w:r>
      <w:r w:rsidR="000379B5" w:rsidRPr="008A2802">
        <w:t xml:space="preserve"> </w:t>
      </w:r>
      <w:r w:rsidR="0039603C" w:rsidRPr="008A2802">
        <w:t xml:space="preserve"> </w:t>
      </w:r>
      <w:r w:rsidRPr="008A2802">
        <w:t xml:space="preserve">stacjonarnych na </w:t>
      </w:r>
      <w:r w:rsidRPr="008A2802">
        <w:rPr>
          <w:rStyle w:val="Kkursywa"/>
        </w:rPr>
        <w:t>k</w:t>
      </w:r>
      <w:r w:rsidR="00483432">
        <w:rPr>
          <w:rStyle w:val="Kkursywa"/>
        </w:rPr>
        <w:t xml:space="preserve"> </w:t>
      </w:r>
      <w:r w:rsidR="0059073F" w:rsidRPr="0059073F">
        <w:t>–</w:t>
      </w:r>
      <w:r w:rsidR="00483432">
        <w:t xml:space="preserve"> </w:t>
      </w:r>
      <w:r w:rsidRPr="008A2802">
        <w:t>tym</w:t>
      </w:r>
      <w:r w:rsidR="0086062C" w:rsidRPr="008A2802">
        <w:t xml:space="preserve"> kierunku, poziomie i profilu, </w:t>
      </w:r>
      <w:r w:rsidRPr="008A2802">
        <w:t xml:space="preserve">prowadzonych w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59073F" w:rsidRPr="0059073F">
        <w:t>–</w:t>
      </w:r>
      <w:r w:rsidR="00483432">
        <w:t xml:space="preserve"> </w:t>
      </w:r>
      <w:r w:rsidRPr="008A2802">
        <w:t xml:space="preserve">tej uczelni </w:t>
      </w:r>
      <w:r w:rsidR="005852FD" w:rsidRPr="008A2802">
        <w:t>medycznej</w:t>
      </w:r>
      <w:r w:rsidRPr="008A2802">
        <w:t>, ustalony zgodnie z przepisami wydanymi na podstawie art. 367 ust. 2 ustawy,</w:t>
      </w:r>
      <w:r w:rsidR="0059073F">
        <w:t xml:space="preserve"> </w:t>
      </w:r>
    </w:p>
    <w:p w14:paraId="30F82D12" w14:textId="4EBB74DE" w:rsidR="00377178" w:rsidRPr="008A2802" w:rsidRDefault="004F5B12" w:rsidP="00861810">
      <w:pPr>
        <w:pStyle w:val="TIRtiret"/>
        <w:ind w:left="1134" w:hanging="567"/>
      </w:pPr>
      <w:r w:rsidRPr="008A2802">
        <w:rPr>
          <w:rStyle w:val="Kkursywa"/>
        </w:rPr>
        <w:t>Ls</w:t>
      </w:r>
      <w:r w:rsidRPr="008A2802">
        <w:rPr>
          <w:rStyle w:val="IDKindeksdolnyikursywa"/>
        </w:rPr>
        <w:t>k,i</w:t>
      </w:r>
      <w:r w:rsidR="00217E72" w:rsidRPr="008A2802">
        <w:tab/>
      </w:r>
      <w:r w:rsidRPr="008A2802">
        <w:t>−</w:t>
      </w:r>
      <w:r w:rsidR="00CC4633" w:rsidRPr="008A2802">
        <w:t xml:space="preserve"> </w:t>
      </w:r>
      <w:r w:rsidRPr="008A2802">
        <w:t xml:space="preserve">oznacza liczbę studentów studiów stacjonarnych na </w:t>
      </w:r>
      <w:r w:rsidRPr="008A2802">
        <w:rPr>
          <w:rStyle w:val="Kkursywa"/>
        </w:rPr>
        <w:t>k</w:t>
      </w:r>
      <w:r w:rsidR="00483432">
        <w:rPr>
          <w:rStyle w:val="Kkursywa"/>
        </w:rPr>
        <w:t xml:space="preserve"> </w:t>
      </w:r>
      <w:r w:rsidR="00483432">
        <w:t xml:space="preserve">– </w:t>
      </w:r>
      <w:r w:rsidRPr="008A2802">
        <w:t>tym kierunku, poziomie</w:t>
      </w:r>
      <w:r w:rsidR="000A12B1" w:rsidRPr="008A2802">
        <w:t xml:space="preserve"> i profilu w </w:t>
      </w:r>
      <w:r w:rsidR="000A12B1"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="000A12B1" w:rsidRPr="008A2802">
        <w:t xml:space="preserve">tej </w:t>
      </w:r>
      <w:r w:rsidR="000379B5" w:rsidRPr="008A2802">
        <w:t>uczelni medycznej</w:t>
      </w:r>
      <w:r w:rsidR="000A12B1" w:rsidRPr="008A2802">
        <w:t>, z wyłączeniem</w:t>
      </w:r>
      <w:r w:rsidR="000379B5" w:rsidRPr="008A2802">
        <w:t xml:space="preserve"> </w:t>
      </w:r>
      <w:r w:rsidR="000A12B1" w:rsidRPr="008A2802">
        <w:t>cudzoziemców,</w:t>
      </w:r>
      <w:r w:rsidR="000379B5" w:rsidRPr="008A2802">
        <w:t xml:space="preserve"> </w:t>
      </w:r>
      <w:r w:rsidR="000A12B1" w:rsidRPr="008A2802">
        <w:t>według</w:t>
      </w:r>
      <w:r w:rsidR="000379B5" w:rsidRPr="008A2802">
        <w:t xml:space="preserve"> </w:t>
      </w:r>
      <w:r w:rsidR="000A12B1" w:rsidRPr="008A2802">
        <w:t xml:space="preserve">stanu na dzień 31 grudnia roku poprzedzającego rok przyznania </w:t>
      </w:r>
      <w:r w:rsidR="004F0C8C" w:rsidRPr="008A2802">
        <w:t>s</w:t>
      </w:r>
      <w:r w:rsidR="000A12B1" w:rsidRPr="008A2802">
        <w:t>ubwencji</w:t>
      </w:r>
      <w:r w:rsidR="00377178" w:rsidRPr="008A2802">
        <w:t xml:space="preserve">. </w:t>
      </w:r>
      <w:r w:rsidR="00FA6FDB">
        <w:t xml:space="preserve"> </w:t>
      </w:r>
    </w:p>
    <w:p w14:paraId="166FD519" w14:textId="26C2350D" w:rsidR="00377178" w:rsidRPr="008A2802" w:rsidRDefault="00377178" w:rsidP="00377178">
      <w:pPr>
        <w:pStyle w:val="TIRtiret"/>
        <w:ind w:left="1134" w:firstLine="0"/>
      </w:pPr>
      <w:r w:rsidRPr="008A2802">
        <w:t xml:space="preserve">W przypadku gdy w danej uczelni liczba studentów na kierunku lekarskim oraz na kierunku lekarsko-dentystycznym w danym roku przekracza </w:t>
      </w:r>
      <w:bookmarkStart w:id="0" w:name="_Hlk207795385"/>
      <w:r w:rsidRPr="008A2802">
        <w:t xml:space="preserve">liczbę określoną dla danego rocznika w </w:t>
      </w:r>
      <w:r w:rsidR="00305732">
        <w:t>przepisach</w:t>
      </w:r>
      <w:r w:rsidRPr="008A2802">
        <w:t xml:space="preserve"> wydany</w:t>
      </w:r>
      <w:r w:rsidR="00D55F62">
        <w:t>ch</w:t>
      </w:r>
      <w:r w:rsidRPr="008A2802">
        <w:t xml:space="preserve"> na podstawie art. 444 ust. 2 ustawy, zostaje ona skorygowana do liczby określonej w rozporządzeniu</w:t>
      </w:r>
      <w:bookmarkEnd w:id="0"/>
      <w:r w:rsidRPr="008A2802">
        <w:t xml:space="preserve">. </w:t>
      </w:r>
    </w:p>
    <w:p w14:paraId="79618F92" w14:textId="26A8FA07" w:rsidR="004F5B12" w:rsidRPr="008A2802" w:rsidRDefault="00377178" w:rsidP="00377178">
      <w:pPr>
        <w:pStyle w:val="TIRtiret"/>
        <w:ind w:left="1134" w:firstLine="0"/>
        <w:rPr>
          <w:color w:val="FF0000"/>
        </w:rPr>
      </w:pPr>
      <w:r w:rsidRPr="008A2802">
        <w:t>W przypadku</w:t>
      </w:r>
      <w:r w:rsidR="008F3D14">
        <w:t>,</w:t>
      </w:r>
      <w:r w:rsidRPr="008A2802">
        <w:t xml:space="preserve"> gdy w danej uczelni liczba absolwentów w roku poprzedzającym rok przyznania subwencji przekracza liczbę określoną dla danego rocznika w </w:t>
      </w:r>
      <w:r w:rsidR="00D55F62">
        <w:t>przepisach</w:t>
      </w:r>
      <w:r w:rsidRPr="008A2802">
        <w:t xml:space="preserve"> wydany</w:t>
      </w:r>
      <w:r w:rsidR="00D55F62">
        <w:t>ch</w:t>
      </w:r>
      <w:r w:rsidRPr="008A2802">
        <w:t xml:space="preserve"> na podstawie art. 444 ust. 2 ustawy, parametr </w:t>
      </w:r>
      <w:r w:rsidRPr="008A2802">
        <w:rPr>
          <w:rStyle w:val="Kkursywa"/>
        </w:rPr>
        <w:t>Ls</w:t>
      </w:r>
      <w:r w:rsidRPr="008A2802">
        <w:rPr>
          <w:rStyle w:val="IDKindeksdolnyikursywa"/>
        </w:rPr>
        <w:t>k,i</w:t>
      </w:r>
      <w:r w:rsidRPr="008A2802">
        <w:t xml:space="preserve"> dla danego kierunku zostaje pomniejszony o wartość przekroczenia</w:t>
      </w:r>
      <w:r w:rsidR="00D55F62">
        <w:t>,</w:t>
      </w:r>
      <w:r w:rsidRPr="008A2802">
        <w:t xml:space="preserve">  </w:t>
      </w:r>
    </w:p>
    <w:p w14:paraId="2ECDBE4A" w14:textId="66D33BA6" w:rsidR="00052971" w:rsidRPr="008A2802" w:rsidRDefault="00052971" w:rsidP="00052971">
      <w:pPr>
        <w:pStyle w:val="TIRtiret"/>
        <w:ind w:left="1134" w:hanging="567"/>
      </w:pPr>
      <w:r w:rsidRPr="008A2802">
        <w:rPr>
          <w:rStyle w:val="Kkursywa"/>
        </w:rPr>
        <w:t>ks</w:t>
      </w:r>
      <w:r w:rsidRPr="008A2802">
        <w:rPr>
          <w:rStyle w:val="IDKindeksdolnyikursywa"/>
        </w:rPr>
        <w:t xml:space="preserve">k=min </w:t>
      </w:r>
      <w:r w:rsidRPr="008A2802">
        <w:tab/>
        <w:t xml:space="preserve">− oznacza najniższy współczynnik kosztochłonności występujący w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Pr="008A2802">
        <w:t>tej uczelni medycznej, ustalony zgodnie z przepisami wydanymi na podstawie art. 367 ust. 2 ustawy,</w:t>
      </w:r>
      <w:r w:rsidR="00FA6FDB">
        <w:t xml:space="preserve"> </w:t>
      </w:r>
    </w:p>
    <w:p w14:paraId="2609E63D" w14:textId="2B235716" w:rsidR="004F5B12" w:rsidRPr="008A2802" w:rsidRDefault="004F5B12" w:rsidP="00861810">
      <w:pPr>
        <w:pStyle w:val="TIRtiret"/>
        <w:ind w:left="1134" w:hanging="567"/>
      </w:pPr>
      <w:r w:rsidRPr="008A2802">
        <w:rPr>
          <w:rStyle w:val="Kkursywa"/>
        </w:rPr>
        <w:t>Lbk</w:t>
      </w:r>
      <w:r w:rsidRPr="008A2802">
        <w:rPr>
          <w:rStyle w:val="IDKindeksdolnyikursywa"/>
        </w:rPr>
        <w:t>i</w:t>
      </w:r>
      <w:r w:rsidR="00217E72" w:rsidRPr="008A2802">
        <w:rPr>
          <w:rStyle w:val="IDKindeksdolnyikursywa"/>
        </w:rPr>
        <w:tab/>
      </w:r>
      <w:r w:rsidRPr="008A2802">
        <w:t>− oznacza liczbę studentów studiów stacjonarnych nieprzypisanych do</w:t>
      </w:r>
      <w:r w:rsidR="000451F3" w:rsidRPr="008A2802">
        <w:t xml:space="preserve"> </w:t>
      </w:r>
      <w:r w:rsidRPr="008A2802">
        <w:t xml:space="preserve">kierunku studiów w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Pr="008A2802">
        <w:t xml:space="preserve">tej </w:t>
      </w:r>
      <w:r w:rsidR="000379B5" w:rsidRPr="008A2802">
        <w:t>uczelni medycznej</w:t>
      </w:r>
      <w:r w:rsidRPr="008A2802">
        <w:t>, z wyłączeniem</w:t>
      </w:r>
      <w:r w:rsidR="000451F3" w:rsidRPr="008A2802">
        <w:t xml:space="preserve"> </w:t>
      </w:r>
      <w:r w:rsidRPr="008A2802">
        <w:t>cudzoziemców, według stanu na</w:t>
      </w:r>
      <w:r w:rsidR="000379B5" w:rsidRPr="008A2802">
        <w:t xml:space="preserve"> </w:t>
      </w:r>
      <w:r w:rsidRPr="008A2802">
        <w:t>dzień 31 grudnia roku poprzedzającego rok</w:t>
      </w:r>
      <w:r w:rsidR="000451F3" w:rsidRPr="008A2802">
        <w:t xml:space="preserve"> </w:t>
      </w:r>
      <w:r w:rsidRPr="008A2802">
        <w:t>przyznania subwencji,</w:t>
      </w:r>
      <w:r w:rsidR="00FA6FDB">
        <w:t xml:space="preserve"> </w:t>
      </w:r>
    </w:p>
    <w:p w14:paraId="543F34F7" w14:textId="1120A7B5" w:rsidR="002C11D5" w:rsidRPr="008A2802" w:rsidRDefault="002C11D5" w:rsidP="002C11D5">
      <w:pPr>
        <w:pStyle w:val="TIRtiret"/>
        <w:ind w:left="1418" w:hanging="851"/>
      </w:pPr>
      <w:r w:rsidRPr="008A2802">
        <w:rPr>
          <w:rStyle w:val="Kkursywa"/>
        </w:rPr>
        <w:t>Lsn</w:t>
      </w:r>
      <w:r w:rsidRPr="008A2802">
        <w:rPr>
          <w:rStyle w:val="IDKindeksdolnyikursywa"/>
        </w:rPr>
        <w:t>i</w:t>
      </w:r>
      <w:r w:rsidRPr="008A2802">
        <w:rPr>
          <w:rStyle w:val="IDKindeksdolnyikursywa"/>
        </w:rPr>
        <w:tab/>
      </w:r>
      <w:r w:rsidRPr="008A2802">
        <w:t xml:space="preserve">‒ oznacza liczbę studentów w </w:t>
      </w:r>
      <w:r w:rsidRPr="008A280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B87F06" w:rsidRPr="00B87F06">
        <w:t>–</w:t>
      </w:r>
      <w:r w:rsidR="00483432">
        <w:t xml:space="preserve"> </w:t>
      </w:r>
      <w:r w:rsidRPr="008A2802">
        <w:t xml:space="preserve">tej uczelni medycznej będących cudzoziemcami, pobierających stypendium przyznane przez </w:t>
      </w:r>
      <w:r w:rsidR="00330956">
        <w:t>ministra właściwego do spraw zdrowia</w:t>
      </w:r>
      <w:r w:rsidRPr="008A2802">
        <w:t xml:space="preserve"> lub Dyrektora Narodowej Agencji Wymiany Akademickiej, według stanu na dzień 31 grudnia roku poprzedzającego rok przyznania subwencji,</w:t>
      </w:r>
    </w:p>
    <w:p w14:paraId="64D28554" w14:textId="77777777" w:rsidR="000C20E0" w:rsidRPr="008A2802" w:rsidRDefault="004F5B12" w:rsidP="00B25B1E">
      <w:pPr>
        <w:pStyle w:val="TIRtiret"/>
        <w:ind w:left="1134" w:hanging="567"/>
      </w:pPr>
      <w:r w:rsidRPr="008A2802">
        <w:rPr>
          <w:rStyle w:val="Kkursywa"/>
        </w:rPr>
        <w:t>d</w:t>
      </w:r>
      <w:r w:rsidRPr="008A2802">
        <w:rPr>
          <w:rStyle w:val="IDKindeksdolnyikursywa"/>
        </w:rPr>
        <w:t>i</w:t>
      </w:r>
      <w:r w:rsidR="00861810" w:rsidRPr="008A2802">
        <w:tab/>
      </w:r>
      <w:r w:rsidRPr="008A2802">
        <w:t>−</w:t>
      </w:r>
      <w:r w:rsidR="00785EE8" w:rsidRPr="008A2802">
        <w:t xml:space="preserve"> </w:t>
      </w:r>
      <w:r w:rsidRPr="008A2802">
        <w:t>oznacza wskaźnik dostępności dydaktycznej, obliczany według wzoru:</w:t>
      </w:r>
    </w:p>
    <w:p w14:paraId="7B51D92E" w14:textId="79EBABE8" w:rsidR="000C20E0" w:rsidRPr="00B25B1E" w:rsidRDefault="00D425F8" w:rsidP="00B25B1E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Cs w:val="24"/>
                    </w:rPr>
                    <m:t xml:space="preserve">  1,0   </m:t>
                  </m:r>
                  <m:sSub>
                    <m:sSub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 xml:space="preserve">      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L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 xml:space="preserve">≥ 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SSR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</w:rPr>
                    <m:t>≤</m:t>
                  </m:r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SSR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L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   </m:t>
                  </m:r>
                  <m:sSub>
                    <m:sSub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SSR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</w:rPr>
                    <m:t>&lt;</m:t>
                  </m:r>
                  <m:r>
                    <w:rPr>
                      <w:rFonts w:ascii="Cambria Math" w:hAnsi="Cambria Math"/>
                      <w:szCs w:val="24"/>
                    </w:rPr>
                    <m:t>L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M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SSR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   </m:t>
                  </m:r>
                  <m:sSub>
                    <m:sSub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SSR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</w:rPr>
                    <m:t>&gt;</m:t>
                  </m:r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e>
              </m:eqArr>
            </m:e>
          </m:d>
        </m:oMath>
      </m:oMathPara>
    </w:p>
    <w:p w14:paraId="0E05A89C" w14:textId="77777777" w:rsidR="004F5B12" w:rsidRPr="004F5B12" w:rsidRDefault="004F5B12" w:rsidP="00861810">
      <w:pPr>
        <w:pStyle w:val="TIRtiret"/>
        <w:ind w:hanging="250"/>
      </w:pPr>
      <w:r w:rsidRPr="004F5B12">
        <w:lastRenderedPageBreak/>
        <w:t>gdzie:</w:t>
      </w:r>
    </w:p>
    <w:p w14:paraId="0A22158F" w14:textId="609A3771" w:rsidR="002B4B31" w:rsidRDefault="004F5B12" w:rsidP="00885EB1">
      <w:pPr>
        <w:pStyle w:val="TIRtiret"/>
        <w:ind w:left="1701" w:hanging="567"/>
      </w:pPr>
      <w:r w:rsidRPr="00A37471">
        <w:rPr>
          <w:rStyle w:val="Kkursywa"/>
        </w:rPr>
        <w:t>SSR</w:t>
      </w:r>
      <w:r w:rsidRPr="00A37471">
        <w:rPr>
          <w:rStyle w:val="IDKindeksdolnyikursywa"/>
        </w:rPr>
        <w:t>i</w:t>
      </w:r>
      <w:r w:rsidRPr="004F5B12">
        <w:tab/>
      </w:r>
      <w:r w:rsidR="00306949">
        <w:t xml:space="preserve"> </w:t>
      </w:r>
      <w:r w:rsidRPr="004F5B12">
        <w:t>− oznacza liczbę studentów przypadających na nauczyciela</w:t>
      </w:r>
      <w:r w:rsidR="00A37471">
        <w:t xml:space="preserve"> </w:t>
      </w:r>
      <w:r w:rsidRPr="004F5B12">
        <w:t xml:space="preserve">akademickiego w </w:t>
      </w:r>
      <w:r w:rsidRPr="00A37471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Pr="004F5B12">
        <w:t>tej</w:t>
      </w:r>
      <w:r w:rsidR="00E47D1B">
        <w:t xml:space="preserve"> </w:t>
      </w:r>
      <w:r w:rsidR="000379B5">
        <w:t>uczelni medycznej</w:t>
      </w:r>
      <w:r w:rsidRPr="004F5B12">
        <w:t>,</w:t>
      </w:r>
      <w:r w:rsidR="00A37471">
        <w:t xml:space="preserve"> </w:t>
      </w:r>
      <w:r w:rsidRPr="004F5B12">
        <w:t>obliczaną według wzoru:</w:t>
      </w:r>
      <w:r w:rsidR="00FA6FDB">
        <w:t xml:space="preserve"> </w:t>
      </w:r>
    </w:p>
    <w:p w14:paraId="58A1BADB" w14:textId="77777777" w:rsidR="002B4B31" w:rsidRDefault="00D425F8" w:rsidP="002B4B31">
      <w:pPr>
        <w:pStyle w:val="TIRtiret"/>
        <w:ind w:left="1701" w:hanging="567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SSR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</m:oMath>
      </m:oMathPara>
    </w:p>
    <w:p w14:paraId="4F8A4E55" w14:textId="77777777" w:rsidR="004F5B12" w:rsidRPr="004F5B12" w:rsidRDefault="004F5B12" w:rsidP="00DB6408">
      <w:pPr>
        <w:pStyle w:val="TIRtiret"/>
        <w:ind w:left="1701" w:firstLine="34"/>
      </w:pPr>
      <w:r w:rsidRPr="004F5B12">
        <w:t>gdzie:</w:t>
      </w:r>
    </w:p>
    <w:p w14:paraId="07EBE681" w14:textId="4667B74C" w:rsidR="004F5B12" w:rsidRDefault="004F5B12" w:rsidP="00DB6408">
      <w:pPr>
        <w:pStyle w:val="TIRtiret"/>
        <w:ind w:left="2835" w:hanging="567"/>
      </w:pPr>
      <w:r w:rsidRPr="008341CA">
        <w:rPr>
          <w:rStyle w:val="Kkursywa"/>
        </w:rPr>
        <w:t>Ss</w:t>
      </w:r>
      <w:r w:rsidR="00A029D1">
        <w:rPr>
          <w:rStyle w:val="IDKindeksdolnyikursywa"/>
        </w:rPr>
        <w:t>i</w:t>
      </w:r>
      <w:r w:rsidR="00DB6408">
        <w:rPr>
          <w:rStyle w:val="IDKindeksdolnyikursywa"/>
          <w:vertAlign w:val="baseline"/>
        </w:rPr>
        <w:tab/>
      </w:r>
      <w:r w:rsidRPr="004F5B12">
        <w:t xml:space="preserve">‒ oznacza liczbę studentów studiów stacjonarnych w </w:t>
      </w:r>
      <w:r w:rsidRPr="00120329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Pr="004F5B12">
        <w:t>tej</w:t>
      </w:r>
      <w:r w:rsidR="004762EC">
        <w:t xml:space="preserve"> </w:t>
      </w:r>
      <w:r w:rsidR="009E7F19">
        <w:t>uczelni medycznej</w:t>
      </w:r>
      <w:r w:rsidRPr="004F5B12">
        <w:t>, według stanu na dzień</w:t>
      </w:r>
      <w:r w:rsidR="004762EC">
        <w:t xml:space="preserve"> </w:t>
      </w:r>
      <w:r w:rsidRPr="004F5B12">
        <w:t>31 grudnia roku</w:t>
      </w:r>
      <w:r w:rsidR="00052108">
        <w:t xml:space="preserve"> </w:t>
      </w:r>
      <w:r w:rsidRPr="004F5B12">
        <w:t>poprzedzającego rok przyznania</w:t>
      </w:r>
      <w:r w:rsidR="004762EC">
        <w:t xml:space="preserve"> </w:t>
      </w:r>
      <w:r w:rsidRPr="004F5B12">
        <w:t>subwencji,</w:t>
      </w:r>
      <w:r w:rsidR="00FA6FDB">
        <w:t xml:space="preserve"> </w:t>
      </w:r>
    </w:p>
    <w:p w14:paraId="7FF68B3F" w14:textId="4E428D74" w:rsidR="005B7A23" w:rsidRPr="004F5B12" w:rsidRDefault="005B7A23" w:rsidP="00DB6408">
      <w:pPr>
        <w:pStyle w:val="TIRtiret"/>
        <w:ind w:left="2835" w:hanging="567"/>
      </w:pPr>
      <w:r w:rsidRPr="005B7A23">
        <w:rPr>
          <w:rStyle w:val="Kkursywa"/>
        </w:rPr>
        <w:t>Sn</w:t>
      </w:r>
      <w:r w:rsidRPr="005B7A23">
        <w:rPr>
          <w:rStyle w:val="IDKindeksdolnyikursywa"/>
        </w:rPr>
        <w:t>i</w:t>
      </w:r>
      <w:r w:rsidR="00DB6408">
        <w:tab/>
      </w:r>
      <w:r w:rsidRPr="004F5B12">
        <w:t xml:space="preserve">‒ oznacza liczbę studentów studiów niestacjonarnych w </w:t>
      </w:r>
      <w:r w:rsidRPr="005B7A23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Pr="004F5B12">
        <w:t>tej</w:t>
      </w:r>
      <w:r>
        <w:t xml:space="preserve"> </w:t>
      </w:r>
      <w:r w:rsidR="009E7F19">
        <w:t>uczelni medycznej</w:t>
      </w:r>
      <w:r w:rsidRPr="004F5B12">
        <w:t>, według stanu na dzień</w:t>
      </w:r>
      <w:r>
        <w:t xml:space="preserve"> </w:t>
      </w:r>
      <w:r w:rsidRPr="004F5B12">
        <w:t>31 grudnia roku</w:t>
      </w:r>
      <w:r w:rsidR="000379B5">
        <w:t xml:space="preserve"> </w:t>
      </w:r>
      <w:r w:rsidRPr="004F5B12">
        <w:t>poprzedzającego rok przyznania</w:t>
      </w:r>
      <w:r>
        <w:t xml:space="preserve"> </w:t>
      </w:r>
      <w:r w:rsidRPr="004F5B12">
        <w:t>subwencji,</w:t>
      </w:r>
      <w:r w:rsidR="00FA6FDB">
        <w:t xml:space="preserve"> </w:t>
      </w:r>
    </w:p>
    <w:p w14:paraId="3048EC6B" w14:textId="28AF13B5" w:rsidR="004F5B12" w:rsidRPr="004F5B12" w:rsidRDefault="004F5B12" w:rsidP="00DB6408">
      <w:pPr>
        <w:pStyle w:val="TIRtiret"/>
        <w:ind w:left="2835" w:hanging="567"/>
      </w:pPr>
      <w:r w:rsidRPr="00D90F2C">
        <w:rPr>
          <w:rStyle w:val="Kkursywa"/>
        </w:rPr>
        <w:t>Na</w:t>
      </w:r>
      <w:r w:rsidRPr="00D90F2C">
        <w:rPr>
          <w:rStyle w:val="IDKindeksdolnyikursywa"/>
        </w:rPr>
        <w:t>i</w:t>
      </w:r>
      <w:r w:rsidR="00DB6408">
        <w:rPr>
          <w:rStyle w:val="IDKindeksdolnyikursywa"/>
          <w:vertAlign w:val="baseline"/>
        </w:rPr>
        <w:tab/>
      </w:r>
      <w:r w:rsidRPr="004F5B12">
        <w:t>‒ oznacza przeciętną liczbę nauczycieli akademickich</w:t>
      </w:r>
      <w:r w:rsidR="00723E28">
        <w:t xml:space="preserve"> </w:t>
      </w:r>
      <w:r w:rsidRPr="004F5B12">
        <w:t xml:space="preserve">zatrudnionych w </w:t>
      </w:r>
      <w:r w:rsidRPr="00784B41">
        <w:rPr>
          <w:rStyle w:val="Kkursywa"/>
        </w:rPr>
        <w:t>i</w:t>
      </w:r>
      <w:r w:rsidR="00FA6FDB" w:rsidRPr="00FA6FDB">
        <w:t>–</w:t>
      </w:r>
      <w:r w:rsidRPr="004F5B12">
        <w:t xml:space="preserve">tej </w:t>
      </w:r>
      <w:r w:rsidR="000379B5">
        <w:t>uczelni medycznej</w:t>
      </w:r>
      <w:r w:rsidR="00723E28">
        <w:t xml:space="preserve"> </w:t>
      </w:r>
      <w:r w:rsidRPr="004F5B12">
        <w:t>(w przeliczeniu na pełne etaty,</w:t>
      </w:r>
      <w:r w:rsidR="000379B5">
        <w:t xml:space="preserve"> </w:t>
      </w:r>
      <w:r w:rsidRPr="004F5B12">
        <w:t>z jednym miejscem po</w:t>
      </w:r>
      <w:r w:rsidR="00723E28">
        <w:t xml:space="preserve"> </w:t>
      </w:r>
      <w:r w:rsidRPr="004F5B12">
        <w:t>przecinku)</w:t>
      </w:r>
      <w:r w:rsidR="00DB6408">
        <w:t xml:space="preserve"> </w:t>
      </w:r>
      <w:r w:rsidRPr="004F5B12">
        <w:t>w roku poprzedzającym rok</w:t>
      </w:r>
      <w:r w:rsidR="004369F6">
        <w:t xml:space="preserve"> </w:t>
      </w:r>
      <w:r w:rsidRPr="004F5B12">
        <w:t>przyznania subwencji,</w:t>
      </w:r>
      <w:r w:rsidR="00FA6FDB">
        <w:t xml:space="preserve"> </w:t>
      </w:r>
    </w:p>
    <w:p w14:paraId="78A29A83" w14:textId="245374A0" w:rsidR="004F5B12" w:rsidRPr="00F1421E" w:rsidRDefault="004F5B12" w:rsidP="00DB6408">
      <w:pPr>
        <w:pStyle w:val="TIRtiret"/>
        <w:ind w:left="1701" w:hanging="567"/>
      </w:pPr>
      <w:r w:rsidRPr="00F1421E">
        <w:rPr>
          <w:rStyle w:val="Kkursywa"/>
        </w:rPr>
        <w:t>M</w:t>
      </w:r>
      <w:r w:rsidR="00DB6408" w:rsidRPr="00F1421E">
        <w:tab/>
      </w:r>
      <w:r w:rsidRPr="00F1421E">
        <w:t xml:space="preserve">− oznacza </w:t>
      </w:r>
      <w:r w:rsidR="004F40BA" w:rsidRPr="00F1421E">
        <w:t>maksymalną</w:t>
      </w:r>
      <w:r w:rsidRPr="00F1421E">
        <w:t xml:space="preserve"> liczbę studentów przypadających</w:t>
      </w:r>
      <w:r w:rsidR="00306949" w:rsidRPr="00F1421E">
        <w:t xml:space="preserve"> na nauczyciela </w:t>
      </w:r>
      <w:r w:rsidRPr="00F1421E">
        <w:t>akademickiego</w:t>
      </w:r>
      <w:r w:rsidR="000379B5" w:rsidRPr="00F1421E">
        <w:t xml:space="preserve"> </w:t>
      </w:r>
      <w:r w:rsidRPr="00F1421E">
        <w:t>w uczelni</w:t>
      </w:r>
      <w:r w:rsidR="000379B5" w:rsidRPr="00F1421E">
        <w:t>ach</w:t>
      </w:r>
      <w:r w:rsidRPr="00F1421E">
        <w:t xml:space="preserve"> </w:t>
      </w:r>
      <w:r w:rsidR="000379B5" w:rsidRPr="00F1421E">
        <w:t>medycznych</w:t>
      </w:r>
      <w:r w:rsidRPr="00F1421E">
        <w:t xml:space="preserve">, </w:t>
      </w:r>
    </w:p>
    <w:p w14:paraId="5854C0E6" w14:textId="161665ED" w:rsidR="004F40BA" w:rsidRDefault="004F40BA" w:rsidP="004F40BA">
      <w:pPr>
        <w:pStyle w:val="TIRtiret"/>
        <w:ind w:left="1701" w:hanging="567"/>
      </w:pPr>
      <w:r w:rsidRPr="00F1421E">
        <w:t>L</w:t>
      </w:r>
      <w:r w:rsidRPr="00F1421E">
        <w:tab/>
        <w:t>− oznacza minimalną liczbę studentów przypadających na nauczyciela akademickiego w uczelniach medycznych,</w:t>
      </w:r>
      <w:r w:rsidRPr="004F5B12">
        <w:t xml:space="preserve"> </w:t>
      </w:r>
    </w:p>
    <w:p w14:paraId="110E8509" w14:textId="77777777" w:rsidR="004F5B12" w:rsidRPr="004F5B12" w:rsidRDefault="004F5B12" w:rsidP="00DB6408">
      <w:pPr>
        <w:pStyle w:val="TIRtiret"/>
        <w:ind w:left="1134" w:hanging="567"/>
      </w:pPr>
      <w:r w:rsidRPr="00306949">
        <w:rPr>
          <w:rStyle w:val="Kkursywa"/>
        </w:rPr>
        <w:t>n</w:t>
      </w:r>
      <w:r w:rsidR="00A029D1">
        <w:tab/>
        <w:t xml:space="preserve">− </w:t>
      </w:r>
      <w:r w:rsidRPr="004F5B12">
        <w:t xml:space="preserve">oznacza liczbę </w:t>
      </w:r>
      <w:r w:rsidR="00DE2649">
        <w:t>uczelni medycznych</w:t>
      </w:r>
      <w:r w:rsidR="006D20F0">
        <w:t>.</w:t>
      </w:r>
    </w:p>
    <w:p w14:paraId="53A9BAEC" w14:textId="70103CD4" w:rsidR="004016EC" w:rsidRPr="004016EC" w:rsidRDefault="004F5B12" w:rsidP="004F5B12">
      <w:r w:rsidRPr="004F5B12">
        <w:t>3.</w:t>
      </w:r>
      <w:r w:rsidR="002C11D5">
        <w:tab/>
      </w:r>
      <w:r w:rsidRPr="004F5B12">
        <w:t xml:space="preserve">Składnik kadrowy </w:t>
      </w:r>
      <w:r w:rsidRPr="0026514D">
        <w:rPr>
          <w:rStyle w:val="Kkursywa"/>
        </w:rPr>
        <w:t>i</w:t>
      </w:r>
      <w:r w:rsidR="00FA6FDB" w:rsidRPr="00FA6FDB">
        <w:t>–</w:t>
      </w:r>
      <w:r w:rsidRPr="004F5B12">
        <w:t xml:space="preserve">tej </w:t>
      </w:r>
      <w:r w:rsidR="000379B5">
        <w:t>uczelni medycznej</w:t>
      </w:r>
      <w:r w:rsidRPr="004F5B12">
        <w:t xml:space="preserve"> oblicza się według wzoru:</w:t>
      </w:r>
      <w:r w:rsidR="002C11D5">
        <w:t xml:space="preserve"> </w:t>
      </w:r>
      <w:r w:rsidR="00FA6FDB">
        <w:t xml:space="preserve"> </w:t>
      </w:r>
    </w:p>
    <w:p w14:paraId="5CAEB98A" w14:textId="0EB8693B" w:rsidR="009E584D" w:rsidRPr="00B25B1E" w:rsidRDefault="00D425F8" w:rsidP="004F5B12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Lna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Lna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3610D28D" w14:textId="77777777" w:rsidR="004F5B12" w:rsidRPr="004F5B12" w:rsidRDefault="004F5B12" w:rsidP="00694FDC">
      <w:pPr>
        <w:pStyle w:val="TIRtiret"/>
        <w:ind w:left="0" w:firstLine="0"/>
      </w:pPr>
      <w:r w:rsidRPr="004F5B12">
        <w:t>gdzie:</w:t>
      </w:r>
    </w:p>
    <w:p w14:paraId="3E6A48E2" w14:textId="195627A0" w:rsidR="004F5B12" w:rsidRDefault="00217634" w:rsidP="00DB6408">
      <w:pPr>
        <w:pStyle w:val="LITlitera"/>
        <w:ind w:left="1134" w:hanging="567"/>
      </w:pPr>
      <w:r>
        <w:rPr>
          <w:rStyle w:val="Kkursywa"/>
        </w:rPr>
        <w:t>Ln</w:t>
      </w:r>
      <w:r w:rsidR="004F5B12" w:rsidRPr="00364548">
        <w:rPr>
          <w:rStyle w:val="Kkursywa"/>
        </w:rPr>
        <w:t>a</w:t>
      </w:r>
      <w:r w:rsidR="004F5B12" w:rsidRPr="00364548">
        <w:rPr>
          <w:rStyle w:val="IDKindeksdolnyikursywa"/>
        </w:rPr>
        <w:t>i</w:t>
      </w:r>
      <w:r w:rsidR="004F5B12" w:rsidRPr="00364548">
        <w:rPr>
          <w:rStyle w:val="IDKindeksdolnyikursywa"/>
        </w:rPr>
        <w:tab/>
      </w:r>
      <w:r w:rsidR="004F5B12" w:rsidRPr="004F5B12">
        <w:t xml:space="preserve">− oznacza sumę kalkulacyjnych liczb nauczycieli akademickich w </w:t>
      </w:r>
      <w:r w:rsidR="004F5B12" w:rsidRPr="00B045AF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="004F5B12" w:rsidRPr="004F5B12">
        <w:t xml:space="preserve">tej </w:t>
      </w:r>
      <w:r>
        <w:t>uczelni medycznej</w:t>
      </w:r>
      <w:r w:rsidR="004F5B12" w:rsidRPr="004F5B12">
        <w:t>, obliczaną według wzoru:</w:t>
      </w:r>
    </w:p>
    <w:p w14:paraId="0E7AE1E4" w14:textId="66B9AD7F" w:rsidR="00364548" w:rsidRPr="00B25B1E" w:rsidRDefault="00D425F8" w:rsidP="00B25B1E">
      <w:pPr>
        <w:pStyle w:val="LITlitera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Lna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2,5</m:t>
              </m:r>
              <m:r>
                <w:rPr>
                  <w:rFonts w:ascii="Cambria Math" w:hAnsi="Cambria Math"/>
                </w:rPr>
                <m:t>Lprof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Lpu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1,5</m:t>
              </m:r>
              <m:r>
                <w:rPr>
                  <w:rFonts w:ascii="Cambria Math" w:hAnsi="Cambria Math"/>
                </w:rPr>
                <m:t>La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Lpn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1B38AEDD" w14:textId="77777777" w:rsidR="004F5B12" w:rsidRPr="004F5B12" w:rsidRDefault="004F5B12" w:rsidP="00DB6408">
      <w:pPr>
        <w:pStyle w:val="TIRtiret"/>
        <w:ind w:left="1134" w:firstLine="0"/>
      </w:pPr>
      <w:r w:rsidRPr="004F5B12">
        <w:t>gdzie:</w:t>
      </w:r>
    </w:p>
    <w:p w14:paraId="68990F40" w14:textId="0B32E461" w:rsidR="004F5B12" w:rsidRPr="004F5B12" w:rsidRDefault="004F5B12" w:rsidP="00DB6408">
      <w:pPr>
        <w:pStyle w:val="TIRtiret"/>
        <w:ind w:left="2552" w:hanging="992"/>
      </w:pPr>
      <w:r w:rsidRPr="00424292">
        <w:rPr>
          <w:rStyle w:val="Kkursywa"/>
        </w:rPr>
        <w:t>Lprof</w:t>
      </w:r>
      <w:r w:rsidRPr="00424292">
        <w:rPr>
          <w:rStyle w:val="IDKindeksdolnyikursywa"/>
        </w:rPr>
        <w:t>i</w:t>
      </w:r>
      <w:r w:rsidR="00DB6408">
        <w:tab/>
      </w:r>
      <w:r w:rsidRPr="004F5B12">
        <w:t>‒ oznacza przeciętną liczbę nauczycieli akademickich zatrudnionych</w:t>
      </w:r>
      <w:r w:rsidR="00424292">
        <w:t xml:space="preserve"> </w:t>
      </w:r>
      <w:r w:rsidRPr="004F5B12">
        <w:t>na</w:t>
      </w:r>
      <w:r w:rsidR="00CE5602">
        <w:t xml:space="preserve"> </w:t>
      </w:r>
      <w:r w:rsidRPr="004F5B12">
        <w:t>stanowisku profesora w roku poprzedzającym rok przyznania</w:t>
      </w:r>
      <w:r w:rsidR="00424292">
        <w:t xml:space="preserve"> </w:t>
      </w:r>
      <w:r w:rsidRPr="004F5B12">
        <w:t>subwencji</w:t>
      </w:r>
      <w:r w:rsidR="00CE5602">
        <w:t xml:space="preserve"> </w:t>
      </w:r>
      <w:r w:rsidRPr="00424292">
        <w:t>(w przeliczeniu na pełne etaty, z jednym miejscem po</w:t>
      </w:r>
      <w:r w:rsidR="00424292" w:rsidRPr="00424292">
        <w:t xml:space="preserve"> </w:t>
      </w:r>
      <w:r w:rsidRPr="00424292">
        <w:t>przecinku)</w:t>
      </w:r>
      <w:r w:rsidR="00424292">
        <w:t xml:space="preserve"> </w:t>
      </w:r>
      <w:r w:rsidR="00424292" w:rsidRPr="00424292">
        <w:t>w </w:t>
      </w:r>
      <w:r w:rsidR="00424292" w:rsidRPr="00424292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="00424292" w:rsidRPr="00424292">
        <w:t>tej</w:t>
      </w:r>
      <w:r w:rsidR="00CE5602">
        <w:t xml:space="preserve"> </w:t>
      </w:r>
      <w:r w:rsidR="000379B5">
        <w:t>uczelni medycznej</w:t>
      </w:r>
      <w:r w:rsidR="00424292" w:rsidRPr="004F5B12">
        <w:t>,</w:t>
      </w:r>
      <w:r w:rsidR="00FA6FDB">
        <w:t xml:space="preserve"> </w:t>
      </w:r>
    </w:p>
    <w:p w14:paraId="52EB0894" w14:textId="67F575F7" w:rsidR="004F5B12" w:rsidRDefault="004F5B12" w:rsidP="00DB6408">
      <w:pPr>
        <w:pStyle w:val="TIRtiret"/>
        <w:ind w:left="2552" w:hanging="992"/>
      </w:pPr>
      <w:r w:rsidRPr="000F437F">
        <w:rPr>
          <w:rStyle w:val="Kkursywa"/>
        </w:rPr>
        <w:t>Lpu</w:t>
      </w:r>
      <w:r w:rsidRPr="000F437F">
        <w:rPr>
          <w:rStyle w:val="IDKindeksdolnyikursywa"/>
        </w:rPr>
        <w:t>i</w:t>
      </w:r>
      <w:r w:rsidR="00DB6408">
        <w:tab/>
      </w:r>
      <w:r w:rsidRPr="000F437F">
        <w:t>‒ oznacza przeciętną liczbę nauczycieli akademickich zatrudnionych</w:t>
      </w:r>
      <w:r w:rsidR="000F437F" w:rsidRPr="000F437F">
        <w:t xml:space="preserve"> </w:t>
      </w:r>
      <w:r w:rsidRPr="000F437F">
        <w:t>na</w:t>
      </w:r>
      <w:r w:rsidR="00CE5602">
        <w:t xml:space="preserve"> </w:t>
      </w:r>
      <w:r w:rsidRPr="000F437F">
        <w:t>stanowisku profesora uczelni</w:t>
      </w:r>
      <w:r w:rsidR="000F437F" w:rsidRPr="000F437F">
        <w:t xml:space="preserve"> </w:t>
      </w:r>
      <w:r w:rsidRPr="000F437F">
        <w:t xml:space="preserve">w roku poprzedzającym rok </w:t>
      </w:r>
      <w:r w:rsidRPr="000F437F">
        <w:lastRenderedPageBreak/>
        <w:t>przyznania</w:t>
      </w:r>
      <w:r w:rsidR="00CE5602">
        <w:t xml:space="preserve"> </w:t>
      </w:r>
      <w:r w:rsidRPr="000F437F">
        <w:t>subwencji (w przeliczeniu</w:t>
      </w:r>
      <w:r w:rsidR="000F437F" w:rsidRPr="000F437F">
        <w:t xml:space="preserve"> </w:t>
      </w:r>
      <w:r w:rsidRPr="000F437F">
        <w:t>na pełne etaty, z jednym miejscem po przecinku</w:t>
      </w:r>
      <w:r w:rsidR="006646DB">
        <w:t>)</w:t>
      </w:r>
      <w:r w:rsidR="00CE5602">
        <w:t xml:space="preserve"> </w:t>
      </w:r>
      <w:r w:rsidRPr="000F437F">
        <w:t xml:space="preserve">w </w:t>
      </w:r>
      <w:r w:rsidRPr="000F437F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Pr="000F437F">
        <w:t xml:space="preserve">tej </w:t>
      </w:r>
      <w:r w:rsidR="000379B5">
        <w:t>uczelni medycznej</w:t>
      </w:r>
      <w:r w:rsidRPr="000F437F">
        <w:t>,</w:t>
      </w:r>
    </w:p>
    <w:p w14:paraId="1DB4F90C" w14:textId="2C68CC2F" w:rsidR="00A737ED" w:rsidRDefault="00B15D31" w:rsidP="00DB6408">
      <w:pPr>
        <w:pStyle w:val="TIRtiret"/>
        <w:ind w:left="2552" w:hanging="992"/>
      </w:pPr>
      <w:r>
        <w:rPr>
          <w:rStyle w:val="Kkursywa"/>
        </w:rPr>
        <w:t>La</w:t>
      </w:r>
      <w:r w:rsidRPr="000F437F">
        <w:rPr>
          <w:rStyle w:val="IDKindeksdolnyikursywa"/>
        </w:rPr>
        <w:t>i</w:t>
      </w:r>
      <w:r w:rsidR="00DB6408">
        <w:tab/>
      </w:r>
      <w:r w:rsidRPr="000F437F">
        <w:t>‒ oznacza</w:t>
      </w:r>
      <w:r w:rsidRPr="00B15D31">
        <w:t xml:space="preserve"> </w:t>
      </w:r>
      <w:r w:rsidRPr="004F5B12">
        <w:t>przeciętną liczbę nauczycieli</w:t>
      </w:r>
      <w:r w:rsidRPr="00B15D31">
        <w:t xml:space="preserve"> </w:t>
      </w:r>
      <w:r w:rsidRPr="004F5B12">
        <w:t>akademickich zatrudnionych</w:t>
      </w:r>
      <w:r>
        <w:t xml:space="preserve"> na</w:t>
      </w:r>
      <w:r w:rsidR="00CE5602">
        <w:t xml:space="preserve"> </w:t>
      </w:r>
      <w:r w:rsidRPr="004F5B12">
        <w:t>stanowisku adiunkta w roku poprzedzającym rok przyznania</w:t>
      </w:r>
      <w:r>
        <w:t xml:space="preserve"> </w:t>
      </w:r>
      <w:r w:rsidR="00A029D1">
        <w:t>subwencji</w:t>
      </w:r>
      <w:r w:rsidR="00CE5602">
        <w:t xml:space="preserve"> </w:t>
      </w:r>
      <w:r w:rsidRPr="004F5B12">
        <w:t>(w przeliczeniu</w:t>
      </w:r>
      <w:r>
        <w:t xml:space="preserve"> </w:t>
      </w:r>
      <w:r w:rsidRPr="004F5B12">
        <w:t xml:space="preserve">na pełne etaty, z jednym miejscem po przecinku) w </w:t>
      </w:r>
      <w:r w:rsidRPr="00B15D31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Pr="004F5B12">
        <w:t>tej</w:t>
      </w:r>
      <w:r w:rsidR="00CE5602">
        <w:t xml:space="preserve"> </w:t>
      </w:r>
      <w:r w:rsidR="000379B5">
        <w:t>uczelni medycznej</w:t>
      </w:r>
      <w:r w:rsidRPr="004F5B12">
        <w:t>,</w:t>
      </w:r>
      <w:r w:rsidR="00FA6FDB">
        <w:t xml:space="preserve"> </w:t>
      </w:r>
    </w:p>
    <w:p w14:paraId="42C30EAF" w14:textId="07662EFA" w:rsidR="004F5B12" w:rsidRDefault="003D5D68" w:rsidP="00DB6408">
      <w:pPr>
        <w:pStyle w:val="TIRtiret"/>
        <w:ind w:left="2552" w:hanging="992"/>
      </w:pPr>
      <w:r w:rsidRPr="000F437F">
        <w:rPr>
          <w:rStyle w:val="Kkursywa"/>
        </w:rPr>
        <w:t>Lp</w:t>
      </w:r>
      <w:r>
        <w:rPr>
          <w:rStyle w:val="Kkursywa"/>
        </w:rPr>
        <w:t>n</w:t>
      </w:r>
      <w:r w:rsidRPr="000F437F">
        <w:rPr>
          <w:rStyle w:val="IDKindeksdolnyikursywa"/>
        </w:rPr>
        <w:t>i</w:t>
      </w:r>
      <w:r w:rsidR="00DB6408">
        <w:tab/>
      </w:r>
      <w:r w:rsidRPr="000F437F">
        <w:t>‒ oznacza</w:t>
      </w:r>
      <w:r>
        <w:t xml:space="preserve"> przeciętną liczbę pozostałych nauczycieli akademickich zatrudnionych</w:t>
      </w:r>
      <w:r w:rsidR="00CE5602">
        <w:t xml:space="preserve"> </w:t>
      </w:r>
      <w:r>
        <w:t>w roku poprzedzającym rok przyznania subwencji (w przeliczeniu na pełne</w:t>
      </w:r>
      <w:r w:rsidR="00CE5602">
        <w:t xml:space="preserve"> </w:t>
      </w:r>
      <w:r>
        <w:t xml:space="preserve">etaty, z jednym miejscem po przecinku) w </w:t>
      </w:r>
      <w:r w:rsidRPr="003D5D68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>
        <w:t xml:space="preserve">tej </w:t>
      </w:r>
      <w:r w:rsidR="000379B5">
        <w:t>uczelni medycznej</w:t>
      </w:r>
      <w:r>
        <w:t>,</w:t>
      </w:r>
      <w:r w:rsidR="00FA6FDB">
        <w:t xml:space="preserve"> </w:t>
      </w:r>
    </w:p>
    <w:p w14:paraId="26377B2E" w14:textId="77777777" w:rsidR="004F5B12" w:rsidRPr="004F5B12" w:rsidRDefault="004F5B12" w:rsidP="00DB6408">
      <w:pPr>
        <w:pStyle w:val="LEGWMATFIZCHEMlegendawzorumatfizlubchem"/>
        <w:ind w:left="1134" w:hanging="567"/>
      </w:pPr>
      <w:r w:rsidRPr="00073480">
        <w:rPr>
          <w:rStyle w:val="Kkursywa"/>
        </w:rPr>
        <w:t>n</w:t>
      </w:r>
      <w:r w:rsidR="00217634">
        <w:tab/>
      </w:r>
      <w:r w:rsidRPr="004F5B12">
        <w:t xml:space="preserve">‒ oznacza liczbę </w:t>
      </w:r>
      <w:r w:rsidR="00DE2649">
        <w:t>uczelni medycznych</w:t>
      </w:r>
      <w:r w:rsidR="00073480" w:rsidRPr="004F5B12">
        <w:t>.</w:t>
      </w:r>
    </w:p>
    <w:p w14:paraId="5902B27E" w14:textId="7C088D99" w:rsidR="004016EC" w:rsidRDefault="004F5B12" w:rsidP="004F5B12">
      <w:r w:rsidRPr="004F5B12">
        <w:t>4.</w:t>
      </w:r>
      <w:r w:rsidR="002C11D5">
        <w:tab/>
      </w:r>
      <w:r w:rsidRPr="004F5B12">
        <w:t xml:space="preserve">Składnik badawczy </w:t>
      </w:r>
      <w:r w:rsidRPr="00731BDE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Pr="004F5B12">
        <w:t xml:space="preserve">tej </w:t>
      </w:r>
      <w:r w:rsidR="000379B5">
        <w:t>uczelni medycznej</w:t>
      </w:r>
      <w:r w:rsidRPr="004F5B12">
        <w:t xml:space="preserve"> oblicza się według wzoru:</w:t>
      </w:r>
      <w:r w:rsidR="00FA6FDB">
        <w:t xml:space="preserve"> </w:t>
      </w:r>
    </w:p>
    <w:p w14:paraId="24ECBF9B" w14:textId="578680E3" w:rsidR="00731BDE" w:rsidRPr="00B25B1E" w:rsidRDefault="00D425F8" w:rsidP="004016E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y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kdn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×</m:t>
                      </m:r>
                    </m:e>
                  </m:nary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×</m:t>
                  </m:r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nary>
                            <m:naryPr>
                              <m:chr m:val="∑"/>
                              <m:limLoc m:val="subSup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kdn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×</m:t>
                              </m:r>
                            </m:e>
                          </m:nary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den>
          </m:f>
        </m:oMath>
      </m:oMathPara>
    </w:p>
    <w:p w14:paraId="297F63F8" w14:textId="77777777" w:rsidR="004F5B12" w:rsidRPr="004F5B12" w:rsidRDefault="004F5B12" w:rsidP="009A3210">
      <w:pPr>
        <w:pStyle w:val="LEGWMATFIZCHEMlegendawzorumatfizlubchem"/>
        <w:ind w:left="0" w:firstLine="0"/>
      </w:pPr>
      <w:r w:rsidRPr="004F5B12">
        <w:t>gdzie:</w:t>
      </w:r>
    </w:p>
    <w:p w14:paraId="172ADF96" w14:textId="02A38FE8" w:rsidR="004F5B12" w:rsidRPr="004F5B12" w:rsidRDefault="004F5B12" w:rsidP="009A3210">
      <w:pPr>
        <w:pStyle w:val="TIRtiret"/>
        <w:ind w:left="1276" w:hanging="709"/>
      </w:pPr>
      <w:r w:rsidRPr="00885211">
        <w:rPr>
          <w:rStyle w:val="Kkursywa"/>
        </w:rPr>
        <w:t>y</w:t>
      </w:r>
      <w:r w:rsidR="009A3210">
        <w:rPr>
          <w:rStyle w:val="Kkursywa"/>
        </w:rPr>
        <w:tab/>
      </w:r>
      <w:r w:rsidRPr="004F5B12">
        <w:t>− ozn</w:t>
      </w:r>
      <w:r w:rsidR="00217634">
        <w:t>acza liczbę dyscyplin naukowych</w:t>
      </w:r>
      <w:r w:rsidRPr="004F5B12">
        <w:t xml:space="preserve">, w których </w:t>
      </w:r>
      <w:r w:rsidRPr="004B7200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B87F06" w:rsidRPr="00B87F06">
        <w:t>–</w:t>
      </w:r>
      <w:r w:rsidR="00483432">
        <w:t xml:space="preserve"> </w:t>
      </w:r>
      <w:r w:rsidRPr="004F5B12">
        <w:t>ta uczelnia</w:t>
      </w:r>
      <w:r w:rsidR="000B270B">
        <w:t xml:space="preserve"> </w:t>
      </w:r>
      <w:r w:rsidR="00217634">
        <w:t>medyczna</w:t>
      </w:r>
      <w:r w:rsidRPr="004F5B12">
        <w:t xml:space="preserve"> prowadzi działalność naukową i w których posiada kategorię naukową</w:t>
      </w:r>
      <w:r w:rsidR="00217634">
        <w:t xml:space="preserve"> wyższą niż C</w:t>
      </w:r>
      <w:r w:rsidRPr="004F5B12">
        <w:t>,</w:t>
      </w:r>
    </w:p>
    <w:p w14:paraId="62D043B3" w14:textId="469F0E43" w:rsidR="004F5B12" w:rsidRPr="004F5B12" w:rsidRDefault="004F5B12" w:rsidP="009A3210">
      <w:pPr>
        <w:pStyle w:val="TIRtiret"/>
        <w:ind w:left="1276" w:hanging="709"/>
      </w:pPr>
      <w:r w:rsidRPr="00EF3FD3">
        <w:rPr>
          <w:rStyle w:val="Kkursywa"/>
        </w:rPr>
        <w:t>kdn</w:t>
      </w:r>
      <w:r w:rsidRPr="00EF3FD3">
        <w:rPr>
          <w:rStyle w:val="IDKindeksdolnyikursywa"/>
        </w:rPr>
        <w:t>j</w:t>
      </w:r>
      <w:r w:rsidR="009A3210">
        <w:tab/>
      </w:r>
      <w:r w:rsidR="00EF3FD3">
        <w:t xml:space="preserve">– </w:t>
      </w:r>
      <w:r w:rsidRPr="004F5B12">
        <w:t>oznacza współczynnik kosztochłonności prowadzenia działalności naukowej</w:t>
      </w:r>
      <w:r w:rsidR="00EF3FD3">
        <w:t xml:space="preserve"> </w:t>
      </w:r>
      <w:r w:rsidRPr="004F5B12">
        <w:t xml:space="preserve">w </w:t>
      </w:r>
      <w:r w:rsidRPr="00EF3FD3">
        <w:rPr>
          <w:rStyle w:val="Kkursywa"/>
        </w:rPr>
        <w:t>j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Pr="004F5B12">
        <w:t>tej</w:t>
      </w:r>
      <w:r w:rsidR="000B270B">
        <w:t xml:space="preserve"> </w:t>
      </w:r>
      <w:r w:rsidRPr="004F5B12">
        <w:t>dyscyplinie naukowej, określony</w:t>
      </w:r>
      <w:r w:rsidR="00EF3FD3">
        <w:t xml:space="preserve"> </w:t>
      </w:r>
      <w:r w:rsidRPr="004F5B12">
        <w:t>w przepisach wydanych na podstawie</w:t>
      </w:r>
      <w:r w:rsidR="000B270B">
        <w:t xml:space="preserve"> </w:t>
      </w:r>
      <w:r w:rsidRPr="004F5B12">
        <w:t>art. 367 ust. 2 ustawy,</w:t>
      </w:r>
      <w:r w:rsidR="00FA6FDB">
        <w:t xml:space="preserve">  </w:t>
      </w:r>
    </w:p>
    <w:p w14:paraId="6AC20B6F" w14:textId="7F39BAEB" w:rsidR="004F5B12" w:rsidRPr="004F5B12" w:rsidRDefault="004F5B12" w:rsidP="009A3210">
      <w:pPr>
        <w:pStyle w:val="TIRtiret"/>
        <w:ind w:left="1276" w:hanging="709"/>
      </w:pPr>
      <w:r w:rsidRPr="00917704">
        <w:rPr>
          <w:rStyle w:val="Kkursywa"/>
        </w:rPr>
        <w:t>N</w:t>
      </w:r>
      <w:r w:rsidRPr="00917704">
        <w:rPr>
          <w:rStyle w:val="IDKindeksdolnyikursywa"/>
        </w:rPr>
        <w:t>i,j</w:t>
      </w:r>
      <w:r w:rsidR="009A3210">
        <w:rPr>
          <w:rStyle w:val="IDKindeksdolnyikursywa"/>
        </w:rPr>
        <w:tab/>
      </w:r>
      <w:r w:rsidRPr="004F5B12">
        <w:t>– oznacza liczbę pracowników (w przeliczeniu na pełne etaty, z jednym miejscem po</w:t>
      </w:r>
      <w:r w:rsidR="000B270B">
        <w:t xml:space="preserve"> </w:t>
      </w:r>
      <w:r w:rsidR="00B52CAF">
        <w:t>przecinku)</w:t>
      </w:r>
      <w:r w:rsidRPr="004F5B12">
        <w:t xml:space="preserve"> w </w:t>
      </w:r>
      <w:r w:rsidRPr="00FD5952">
        <w:rPr>
          <w:rStyle w:val="Kkursywa"/>
        </w:rPr>
        <w:t>i</w:t>
      </w:r>
      <w:r w:rsidR="00FA6FDB" w:rsidRPr="00FA6FDB">
        <w:t>–</w:t>
      </w:r>
      <w:r w:rsidRPr="004F5B12">
        <w:t xml:space="preserve">tej </w:t>
      </w:r>
      <w:r w:rsidR="000379B5">
        <w:t>uczelni medycznej</w:t>
      </w:r>
      <w:r w:rsidRPr="004F5B12">
        <w:t>, prowadzących działalność naukową</w:t>
      </w:r>
      <w:r w:rsidR="000B270B">
        <w:t xml:space="preserve"> </w:t>
      </w:r>
      <w:r w:rsidRPr="004F5B12">
        <w:t xml:space="preserve">w </w:t>
      </w:r>
      <w:r w:rsidRPr="00FD5952">
        <w:rPr>
          <w:rStyle w:val="Kkursywa"/>
        </w:rPr>
        <w:t>j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Pr="004F5B12">
        <w:t>tych dyscyplinach naukowych (z uwzględnieniem czasu pracy</w:t>
      </w:r>
      <w:r w:rsidR="000B270B">
        <w:t xml:space="preserve"> </w:t>
      </w:r>
      <w:r w:rsidRPr="004F5B12">
        <w:t>związanej z prowadzeniem działalności</w:t>
      </w:r>
      <w:r w:rsidR="00A51DD6">
        <w:t xml:space="preserve"> </w:t>
      </w:r>
      <w:r w:rsidRPr="004F5B12">
        <w:t xml:space="preserve">naukowej w poszczególnych dyscyplinach), w których </w:t>
      </w:r>
      <w:r w:rsidRPr="00A51DD6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FA6FDB" w:rsidRPr="00FA6FDB">
        <w:t>–</w:t>
      </w:r>
      <w:r w:rsidR="00483432">
        <w:t xml:space="preserve"> </w:t>
      </w:r>
      <w:r w:rsidRPr="004F5B12">
        <w:t>ta uczelnia posiada</w:t>
      </w:r>
      <w:r w:rsidR="00A51DD6">
        <w:t xml:space="preserve"> </w:t>
      </w:r>
      <w:r w:rsidRPr="004F5B12">
        <w:t>kategorię naukową wyższą niż C, którzy złożyli</w:t>
      </w:r>
      <w:r w:rsidR="000B270B">
        <w:t xml:space="preserve"> </w:t>
      </w:r>
      <w:r w:rsidR="00217634">
        <w:t xml:space="preserve">w </w:t>
      </w:r>
      <w:r w:rsidR="00217634">
        <w:rPr>
          <w:i/>
        </w:rPr>
        <w:t>i</w:t>
      </w:r>
      <w:r w:rsidR="00483432">
        <w:rPr>
          <w:i/>
        </w:rPr>
        <w:t xml:space="preserve"> </w:t>
      </w:r>
      <w:bookmarkStart w:id="1" w:name="_Hlk210226797"/>
      <w:r w:rsidR="00217634">
        <w:t>–</w:t>
      </w:r>
      <w:bookmarkEnd w:id="1"/>
      <w:r w:rsidR="00483432">
        <w:t xml:space="preserve"> </w:t>
      </w:r>
      <w:r w:rsidR="00217634">
        <w:t>tej uczelni oświadczenie</w:t>
      </w:r>
      <w:r w:rsidRPr="004F5B12">
        <w:t>, o którym mowa</w:t>
      </w:r>
      <w:r w:rsidR="00A51DD6">
        <w:t xml:space="preserve"> </w:t>
      </w:r>
      <w:r w:rsidRPr="004F5B12">
        <w:t>w art. 265 ust. 5 ustawy, według stanu na dzień 31 grudnia</w:t>
      </w:r>
      <w:r w:rsidR="000B270B">
        <w:t xml:space="preserve"> </w:t>
      </w:r>
      <w:r w:rsidRPr="004F5B12">
        <w:t>roku</w:t>
      </w:r>
      <w:r w:rsidR="00A51DD6">
        <w:t xml:space="preserve"> </w:t>
      </w:r>
      <w:r w:rsidRPr="004F5B12">
        <w:t>poprzedzającego rok przyznania subwencji,</w:t>
      </w:r>
      <w:r w:rsidR="00FA6FDB">
        <w:t xml:space="preserve">  </w:t>
      </w:r>
    </w:p>
    <w:p w14:paraId="313D8042" w14:textId="10B29C56" w:rsidR="004F5B12" w:rsidRPr="004F5B12" w:rsidRDefault="004F5B12" w:rsidP="009A3210">
      <w:pPr>
        <w:pStyle w:val="TIRtiret"/>
        <w:ind w:left="1276" w:hanging="709"/>
      </w:pPr>
      <w:r w:rsidRPr="00AD53EE">
        <w:rPr>
          <w:rStyle w:val="Kkursywa"/>
        </w:rPr>
        <w:t>K</w:t>
      </w:r>
      <w:r w:rsidRPr="00AD53EE">
        <w:rPr>
          <w:rStyle w:val="IDKindeksdolnyikursywa"/>
        </w:rPr>
        <w:t>j</w:t>
      </w:r>
      <w:r w:rsidR="009A3210">
        <w:tab/>
      </w:r>
      <w:r w:rsidRPr="004F5B12">
        <w:t>‒</w:t>
      </w:r>
      <w:r w:rsidR="00275C24">
        <w:t xml:space="preserve"> </w:t>
      </w:r>
      <w:r w:rsidRPr="004F5B12">
        <w:t xml:space="preserve">oznacza wartość przypisaną </w:t>
      </w:r>
      <w:r w:rsidRPr="00AD53EE">
        <w:rPr>
          <w:rStyle w:val="Kkursywa"/>
        </w:rPr>
        <w:t>j</w:t>
      </w:r>
      <w:r w:rsidR="00B05AF4" w:rsidRPr="00B05AF4">
        <w:t>–</w:t>
      </w:r>
      <w:r w:rsidRPr="004F5B12">
        <w:t>tej dyscyplinie naukowej, wynoszącą:</w:t>
      </w:r>
    </w:p>
    <w:p w14:paraId="1F6E4323" w14:textId="6EC574BC" w:rsidR="004F5B12" w:rsidRPr="004F5B12" w:rsidRDefault="004F5B12" w:rsidP="00317429">
      <w:pPr>
        <w:pStyle w:val="TIRtiret"/>
        <w:ind w:left="1843" w:hanging="283"/>
      </w:pPr>
      <w:r w:rsidRPr="004F5B12">
        <w:t>–</w:t>
      </w:r>
      <w:r w:rsidR="00317429">
        <w:tab/>
      </w:r>
      <w:r w:rsidRPr="004F5B12">
        <w:t xml:space="preserve">1,75 – dla dyscyplin naukowych, w których </w:t>
      </w:r>
      <w:r w:rsidRPr="00AD53EE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B05AF4" w:rsidRPr="00B05AF4">
        <w:t>–</w:t>
      </w:r>
      <w:r w:rsidR="00483432">
        <w:t xml:space="preserve"> </w:t>
      </w:r>
      <w:r w:rsidRPr="004F5B12">
        <w:t xml:space="preserve">ta </w:t>
      </w:r>
      <w:r w:rsidR="00437A1F">
        <w:t>uczelnia medyczna</w:t>
      </w:r>
      <w:r w:rsidRPr="004F5B12">
        <w:t xml:space="preserve"> posiada kategorię naukową A+,</w:t>
      </w:r>
      <w:r w:rsidR="00B05AF4">
        <w:t xml:space="preserve">  </w:t>
      </w:r>
    </w:p>
    <w:p w14:paraId="6412636A" w14:textId="6F9D11A7" w:rsidR="004F5B12" w:rsidRPr="004F5B12" w:rsidRDefault="004F5B12" w:rsidP="00317429">
      <w:pPr>
        <w:pStyle w:val="TIRtiret"/>
        <w:ind w:left="1843" w:hanging="283"/>
      </w:pPr>
      <w:r w:rsidRPr="004F5B12">
        <w:t>–</w:t>
      </w:r>
      <w:r w:rsidR="00317429">
        <w:tab/>
      </w:r>
      <w:r w:rsidRPr="004F5B12">
        <w:t>1,25 – dla dyscyplin naukowych, w których</w:t>
      </w:r>
      <w:r w:rsidRPr="00AD53EE">
        <w:rPr>
          <w:rStyle w:val="Kkursywa"/>
        </w:rPr>
        <w:t xml:space="preserve"> i</w:t>
      </w:r>
      <w:r w:rsidR="00483432">
        <w:rPr>
          <w:rStyle w:val="Kkursywa"/>
        </w:rPr>
        <w:t xml:space="preserve"> </w:t>
      </w:r>
      <w:r w:rsidR="00B05AF4" w:rsidRPr="00B05AF4">
        <w:t>–</w:t>
      </w:r>
      <w:r w:rsidR="00483432">
        <w:t xml:space="preserve"> </w:t>
      </w:r>
      <w:r w:rsidRPr="004F5B12">
        <w:t xml:space="preserve">ta </w:t>
      </w:r>
      <w:r w:rsidR="00437A1F">
        <w:t>uczelnia medyczna</w:t>
      </w:r>
      <w:r w:rsidRPr="004F5B12">
        <w:t xml:space="preserve"> posiada kategorię naukową A,</w:t>
      </w:r>
      <w:r w:rsidR="00B05AF4">
        <w:t xml:space="preserve"> </w:t>
      </w:r>
    </w:p>
    <w:p w14:paraId="307CC136" w14:textId="06603429" w:rsidR="004F5B12" w:rsidRPr="004F5B12" w:rsidRDefault="004F5B12" w:rsidP="00317429">
      <w:pPr>
        <w:pStyle w:val="TIRtiret"/>
        <w:ind w:left="1843" w:hanging="283"/>
      </w:pPr>
      <w:r w:rsidRPr="004F5B12">
        <w:t>–</w:t>
      </w:r>
      <w:r w:rsidR="00317429">
        <w:tab/>
      </w:r>
      <w:r w:rsidRPr="004F5B12">
        <w:t xml:space="preserve">1,00 – dla dyscyplin naukowych, w których </w:t>
      </w:r>
      <w:r w:rsidRPr="00BC1AE1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B05AF4" w:rsidRPr="00B05AF4">
        <w:t>–</w:t>
      </w:r>
      <w:r w:rsidR="00483432">
        <w:t xml:space="preserve"> </w:t>
      </w:r>
      <w:r w:rsidRPr="004F5B12">
        <w:t xml:space="preserve">ta </w:t>
      </w:r>
      <w:r w:rsidR="00437A1F">
        <w:t>uczelnia medyczna</w:t>
      </w:r>
      <w:r w:rsidRPr="004F5B12">
        <w:t xml:space="preserve"> posiada kategorię naukową B+,</w:t>
      </w:r>
    </w:p>
    <w:p w14:paraId="3D0CF714" w14:textId="62340F43" w:rsidR="004F5B12" w:rsidRPr="004F5B12" w:rsidRDefault="004F5B12" w:rsidP="00317429">
      <w:pPr>
        <w:pStyle w:val="TIRtiret"/>
        <w:ind w:left="1843" w:hanging="283"/>
      </w:pPr>
      <w:r w:rsidRPr="004F5B12">
        <w:lastRenderedPageBreak/>
        <w:t>–</w:t>
      </w:r>
      <w:r w:rsidR="00317429">
        <w:tab/>
      </w:r>
      <w:r w:rsidRPr="004F5B12">
        <w:t xml:space="preserve">0,75 – dla dyscyplin naukowych, w których </w:t>
      </w:r>
      <w:r w:rsidRPr="00FF6473">
        <w:rPr>
          <w:rStyle w:val="Kkursywa"/>
        </w:rPr>
        <w:t>i</w:t>
      </w:r>
      <w:r w:rsidR="00483432">
        <w:rPr>
          <w:rStyle w:val="Kkursywa"/>
        </w:rPr>
        <w:t xml:space="preserve"> </w:t>
      </w:r>
      <w:r w:rsidR="00B05AF4" w:rsidRPr="00B05AF4">
        <w:t>–</w:t>
      </w:r>
      <w:r w:rsidR="00483432">
        <w:t xml:space="preserve"> </w:t>
      </w:r>
      <w:r w:rsidRPr="004F5B12">
        <w:t xml:space="preserve">ta </w:t>
      </w:r>
      <w:r w:rsidR="00217634">
        <w:t>uczelnia medyczna</w:t>
      </w:r>
      <w:r w:rsidRPr="004F5B12">
        <w:t xml:space="preserve"> posiada kategorię naukową B,</w:t>
      </w:r>
    </w:p>
    <w:p w14:paraId="356F9887" w14:textId="77777777" w:rsidR="004F5B12" w:rsidRPr="004F5B12" w:rsidRDefault="004F5B12" w:rsidP="00734725">
      <w:pPr>
        <w:pStyle w:val="TIRtiret"/>
        <w:ind w:left="1276" w:hanging="709"/>
      </w:pPr>
      <w:r w:rsidRPr="00B95E14">
        <w:rPr>
          <w:rStyle w:val="Kkursywa"/>
        </w:rPr>
        <w:t>n</w:t>
      </w:r>
      <w:r w:rsidR="00734725">
        <w:tab/>
      </w:r>
      <w:r w:rsidRPr="004F5B12">
        <w:t xml:space="preserve">‒ oznacza liczbę </w:t>
      </w:r>
      <w:r w:rsidR="00DE2649">
        <w:t>uczelni medycznych</w:t>
      </w:r>
      <w:r w:rsidR="00437A1F">
        <w:t>.</w:t>
      </w:r>
    </w:p>
    <w:p w14:paraId="7684754B" w14:textId="5DA88840" w:rsidR="004016EC" w:rsidRDefault="004016EC" w:rsidP="004F5B12">
      <w:r>
        <w:t>5</w:t>
      </w:r>
      <w:r w:rsidR="004F5B12" w:rsidRPr="004F5B12">
        <w:t>.</w:t>
      </w:r>
      <w:r w:rsidR="002C11D5">
        <w:tab/>
      </w:r>
      <w:r w:rsidR="004F5B12" w:rsidRPr="004F5B12">
        <w:t xml:space="preserve">Składnik doktorancki </w:t>
      </w:r>
      <w:r w:rsidR="004F5B12" w:rsidRPr="00B95E14">
        <w:rPr>
          <w:rStyle w:val="Kkursywa"/>
        </w:rPr>
        <w:t>i</w:t>
      </w:r>
      <w:r w:rsidR="00B05AF4" w:rsidRPr="00B05AF4">
        <w:t>–</w:t>
      </w:r>
      <w:r w:rsidR="004F5B12" w:rsidRPr="004F5B12">
        <w:t xml:space="preserve">tej </w:t>
      </w:r>
      <w:r w:rsidR="000379B5">
        <w:t>uczelni medycznej</w:t>
      </w:r>
      <w:r w:rsidR="004F5B12" w:rsidRPr="004F5B12">
        <w:t xml:space="preserve"> oblicza się według wzoru:</w:t>
      </w:r>
    </w:p>
    <w:p w14:paraId="1C272CA0" w14:textId="5294BCCD" w:rsidR="00B95E14" w:rsidRPr="00B25B1E" w:rsidRDefault="00D425F8" w:rsidP="004016E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y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×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kdn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r>
                            <w:rPr>
                              <w:rFonts w:ascii="Cambria Math" w:hAnsi="Cambria Math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Ld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 xml:space="preserve">×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kdn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sub>
                              </m:sSub>
                            </m:e>
                          </m:d>
                        </m:e>
                      </m:nary>
                    </m:e>
                  </m:d>
                </m:e>
              </m:nary>
            </m:den>
          </m:f>
        </m:oMath>
      </m:oMathPara>
    </w:p>
    <w:p w14:paraId="25E7B418" w14:textId="39AEAF45" w:rsidR="004F5B12" w:rsidRPr="004F5B12" w:rsidRDefault="004F5B12" w:rsidP="00273141">
      <w:pPr>
        <w:pStyle w:val="LEGWMATFIZCHEMlegendawzorumatfizlubchem"/>
        <w:ind w:left="0" w:firstLine="0"/>
      </w:pPr>
      <w:r w:rsidRPr="004F5B12">
        <w:t>gdzie:</w:t>
      </w:r>
      <w:r w:rsidR="00B05AF4">
        <w:t xml:space="preserve"> </w:t>
      </w:r>
    </w:p>
    <w:p w14:paraId="44F4B883" w14:textId="4F79188F" w:rsidR="004F5B12" w:rsidRDefault="004F5B12" w:rsidP="00273141">
      <w:pPr>
        <w:pStyle w:val="TIRtiret"/>
        <w:ind w:left="1276" w:hanging="709"/>
      </w:pPr>
      <w:r w:rsidRPr="00885211">
        <w:rPr>
          <w:rStyle w:val="Kkursywa"/>
        </w:rPr>
        <w:t>y</w:t>
      </w:r>
      <w:r w:rsidR="00273141">
        <w:tab/>
      </w:r>
      <w:r w:rsidRPr="004F5B12">
        <w:t xml:space="preserve">− oznacza liczbę szkół doktorskich prowadzonych przez </w:t>
      </w:r>
      <w:r w:rsidRPr="00F55E0A">
        <w:rPr>
          <w:rStyle w:val="Kkursywa"/>
        </w:rPr>
        <w:t>i</w:t>
      </w:r>
      <w:r w:rsidR="00B05AF4" w:rsidRPr="00B05AF4">
        <w:t>–</w:t>
      </w:r>
      <w:r w:rsidRPr="004F5B12">
        <w:t xml:space="preserve">tę </w:t>
      </w:r>
      <w:r w:rsidR="00437A1F">
        <w:t>uczelnię medyczną</w:t>
      </w:r>
      <w:r w:rsidRPr="004F5B12">
        <w:t>,</w:t>
      </w:r>
    </w:p>
    <w:p w14:paraId="7B57517A" w14:textId="05368CCE" w:rsidR="00437A1F" w:rsidRDefault="00437A1F" w:rsidP="00273141">
      <w:pPr>
        <w:pStyle w:val="TIRtiret"/>
        <w:ind w:left="1276" w:hanging="709"/>
      </w:pPr>
      <w:r w:rsidRPr="009348BF">
        <w:rPr>
          <w:rStyle w:val="Kkursywa"/>
        </w:rPr>
        <w:t>Ld</w:t>
      </w:r>
      <w:r w:rsidRPr="009348BF">
        <w:rPr>
          <w:rStyle w:val="IDKindeksdolnyikursywa"/>
        </w:rPr>
        <w:t>i,d</w:t>
      </w:r>
      <w:r w:rsidR="00273141">
        <w:tab/>
      </w:r>
      <w:r w:rsidRPr="004F5B12">
        <w:t xml:space="preserve">– oznacza liczbę doktorantów w </w:t>
      </w:r>
      <w:r w:rsidRPr="00434F70">
        <w:rPr>
          <w:rStyle w:val="Kkursywa"/>
        </w:rPr>
        <w:t>d</w:t>
      </w:r>
      <w:r w:rsidR="00483432">
        <w:rPr>
          <w:rStyle w:val="Kkursywa"/>
        </w:rPr>
        <w:t xml:space="preserve"> </w:t>
      </w:r>
      <w:r w:rsidR="00B05AF4" w:rsidRPr="00B05AF4">
        <w:t>–</w:t>
      </w:r>
      <w:r w:rsidR="00483432">
        <w:t xml:space="preserve"> </w:t>
      </w:r>
      <w:r w:rsidRPr="004F5B12">
        <w:t xml:space="preserve">tej szkole doktorskiej prowadzonej przez </w:t>
      </w:r>
      <w:r w:rsidR="00B52CAF">
        <w:br/>
      </w:r>
      <w:r w:rsidRPr="009348BF">
        <w:rPr>
          <w:rStyle w:val="Kkursywa"/>
        </w:rPr>
        <w:t>i</w:t>
      </w:r>
      <w:r w:rsidR="008C54BE">
        <w:rPr>
          <w:rStyle w:val="Kkursywa"/>
        </w:rPr>
        <w:t xml:space="preserve"> </w:t>
      </w:r>
      <w:r w:rsidR="00B05AF4" w:rsidRPr="00B05AF4">
        <w:t>–</w:t>
      </w:r>
      <w:r w:rsidR="008C54BE">
        <w:t xml:space="preserve"> </w:t>
      </w:r>
      <w:r w:rsidRPr="004F5B12">
        <w:t>tę</w:t>
      </w:r>
      <w:r w:rsidRPr="009348BF">
        <w:t xml:space="preserve"> </w:t>
      </w:r>
      <w:r>
        <w:t>uczelnię medyczną</w:t>
      </w:r>
      <w:r w:rsidRPr="004F5B12">
        <w:t xml:space="preserve">, z wyłączeniem osób zatrudnionych w ramach stosunku pracy w </w:t>
      </w:r>
      <w:r w:rsidRPr="009348BF">
        <w:rPr>
          <w:rStyle w:val="Kkursywa"/>
        </w:rPr>
        <w:t>i</w:t>
      </w:r>
      <w:r w:rsidR="008C54BE">
        <w:rPr>
          <w:rStyle w:val="Kkursywa"/>
        </w:rPr>
        <w:t xml:space="preserve"> </w:t>
      </w:r>
      <w:r w:rsidR="00B05AF4" w:rsidRPr="00B05AF4">
        <w:t>–</w:t>
      </w:r>
      <w:r w:rsidR="008C54BE">
        <w:t xml:space="preserve"> </w:t>
      </w:r>
      <w:r w:rsidRPr="004F5B12">
        <w:t xml:space="preserve">tej </w:t>
      </w:r>
      <w:r>
        <w:t>uczelni medycznej</w:t>
      </w:r>
      <w:r w:rsidRPr="004F5B12">
        <w:t xml:space="preserve"> w charakterze nauczyciela</w:t>
      </w:r>
      <w:r w:rsidRPr="009348BF">
        <w:t xml:space="preserve"> </w:t>
      </w:r>
      <w:r w:rsidRPr="004F5B12">
        <w:t>akademickiego i cudzoziemców, według stanu na dzień 31 grudnia roku</w:t>
      </w:r>
      <w:r w:rsidRPr="009348BF">
        <w:t xml:space="preserve"> </w:t>
      </w:r>
      <w:r w:rsidRPr="004F5B12">
        <w:t>poprzedzającego rok</w:t>
      </w:r>
      <w:r>
        <w:t xml:space="preserve"> </w:t>
      </w:r>
      <w:r w:rsidRPr="004F5B12">
        <w:t>przyznania subwencji</w:t>
      </w:r>
      <w:r>
        <w:t>,</w:t>
      </w:r>
      <w:r w:rsidR="00B05AF4">
        <w:t xml:space="preserve">       </w:t>
      </w:r>
    </w:p>
    <w:p w14:paraId="5FDDB7FE" w14:textId="710D1233" w:rsidR="00273141" w:rsidRPr="00B25B1E" w:rsidRDefault="00F55E0A" w:rsidP="00B25B1E">
      <w:pPr>
        <w:pStyle w:val="TIRtiret"/>
        <w:ind w:left="1276" w:hanging="709"/>
      </w:pPr>
      <w:r w:rsidRPr="00F55E0A">
        <w:rPr>
          <w:rStyle w:val="Kkursywa"/>
        </w:rPr>
        <w:t>kdn</w:t>
      </w:r>
      <w:r w:rsidRPr="00F55E0A">
        <w:rPr>
          <w:rStyle w:val="IDKindeksdolnyikursywa"/>
        </w:rPr>
        <w:t>d</w:t>
      </w:r>
      <w:r w:rsidR="00273141">
        <w:tab/>
      </w:r>
      <w:r w:rsidR="004F5B12" w:rsidRPr="004F5B12">
        <w:t>– oznacza średni współczynnik kosztochłonności prowadzenia działalności naukowej</w:t>
      </w:r>
      <w:r w:rsidR="00DE2649">
        <w:t xml:space="preserve"> </w:t>
      </w:r>
      <w:r w:rsidR="004F5B12" w:rsidRPr="004F5B12">
        <w:t xml:space="preserve">w </w:t>
      </w:r>
      <w:r w:rsidR="004F5B12" w:rsidRPr="00F55E0A">
        <w:rPr>
          <w:rStyle w:val="Kkursywa"/>
        </w:rPr>
        <w:t>j</w:t>
      </w:r>
      <w:r w:rsidR="008C54BE">
        <w:rPr>
          <w:rStyle w:val="Kkursywa"/>
        </w:rPr>
        <w:t xml:space="preserve"> </w:t>
      </w:r>
      <w:r w:rsidR="00B05AF4" w:rsidRPr="00B05AF4">
        <w:t>–</w:t>
      </w:r>
      <w:r w:rsidR="008C54BE">
        <w:t xml:space="preserve"> </w:t>
      </w:r>
      <w:r w:rsidR="004F5B12" w:rsidRPr="004F5B12">
        <w:t>tych</w:t>
      </w:r>
      <w:r w:rsidR="003E22D6">
        <w:t xml:space="preserve"> </w:t>
      </w:r>
      <w:r w:rsidR="004F5B12" w:rsidRPr="004F5B12">
        <w:t>dyscyplinach naukowych, w których jest prowadzone</w:t>
      </w:r>
      <w:r w:rsidR="00DE2649">
        <w:t xml:space="preserve"> </w:t>
      </w:r>
      <w:r w:rsidR="004F5B12" w:rsidRPr="004F5B12">
        <w:t xml:space="preserve">kształcenie w </w:t>
      </w:r>
      <w:r w:rsidR="004F5B12" w:rsidRPr="00F55E0A">
        <w:rPr>
          <w:rStyle w:val="Kkursywa"/>
        </w:rPr>
        <w:t>d</w:t>
      </w:r>
      <w:r w:rsidR="008C54BE">
        <w:rPr>
          <w:rStyle w:val="Kkursywa"/>
        </w:rPr>
        <w:t xml:space="preserve"> </w:t>
      </w:r>
      <w:r w:rsidR="00B05AF4" w:rsidRPr="00B05AF4">
        <w:t>–</w:t>
      </w:r>
      <w:r w:rsidR="008C54BE">
        <w:t xml:space="preserve"> </w:t>
      </w:r>
      <w:r w:rsidR="004F5B12" w:rsidRPr="004F5B12">
        <w:t>tej</w:t>
      </w:r>
      <w:r w:rsidR="003E22D6">
        <w:t xml:space="preserve"> </w:t>
      </w:r>
      <w:r w:rsidR="004F5B12" w:rsidRPr="004F5B12">
        <w:t xml:space="preserve">szkole doktorskiej prowadzonej przez </w:t>
      </w:r>
      <w:r w:rsidR="004F5B12" w:rsidRPr="00F55E0A">
        <w:rPr>
          <w:rStyle w:val="Kkursywa"/>
        </w:rPr>
        <w:t>i</w:t>
      </w:r>
      <w:r w:rsidR="008C54BE">
        <w:rPr>
          <w:rStyle w:val="Kkursywa"/>
        </w:rPr>
        <w:t xml:space="preserve"> </w:t>
      </w:r>
      <w:r w:rsidR="00B05AF4" w:rsidRPr="00B05AF4">
        <w:t>–</w:t>
      </w:r>
      <w:r w:rsidR="008C54BE">
        <w:t xml:space="preserve"> </w:t>
      </w:r>
      <w:r w:rsidR="004F5B12" w:rsidRPr="004F5B12">
        <w:t xml:space="preserve">tę </w:t>
      </w:r>
      <w:r w:rsidR="00437A1F">
        <w:t>uczelnię medyczną</w:t>
      </w:r>
      <w:r w:rsidR="004F5B12" w:rsidRPr="004F5B12">
        <w:t>, zaokrąglony w dół do jednego miejsca po przecinku, obliczany według</w:t>
      </w:r>
      <w:r w:rsidR="00DE2649">
        <w:t xml:space="preserve"> </w:t>
      </w:r>
      <w:r w:rsidR="004F5B12" w:rsidRPr="004F5B12">
        <w:t>wzoru:</w:t>
      </w:r>
    </w:p>
    <w:p w14:paraId="57E88315" w14:textId="77777777" w:rsidR="003E22D6" w:rsidRDefault="00D425F8" w:rsidP="004F5B12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kdn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l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den>
          </m:f>
        </m:oMath>
      </m:oMathPara>
    </w:p>
    <w:p w14:paraId="0DF9A77B" w14:textId="77777777" w:rsidR="004F5B12" w:rsidRPr="004F5B12" w:rsidRDefault="004F5B12" w:rsidP="00BF357E">
      <w:pPr>
        <w:pStyle w:val="TIRtiret"/>
        <w:ind w:hanging="108"/>
      </w:pPr>
      <w:r w:rsidRPr="004F5B12">
        <w:t>gdzie:</w:t>
      </w:r>
    </w:p>
    <w:p w14:paraId="3D9ACDE9" w14:textId="3AF6A025" w:rsidR="004F5B12" w:rsidRPr="004F5B12" w:rsidRDefault="004F5B12" w:rsidP="00BF357E">
      <w:pPr>
        <w:pStyle w:val="TIRtiret"/>
        <w:ind w:left="2268" w:hanging="425"/>
      </w:pPr>
      <w:r w:rsidRPr="00BF1AAE">
        <w:rPr>
          <w:rStyle w:val="Kkursywa"/>
        </w:rPr>
        <w:t>l</w:t>
      </w:r>
      <w:r w:rsidR="00273141">
        <w:tab/>
      </w:r>
      <w:r w:rsidRPr="004F5B12">
        <w:t>‒ ozn</w:t>
      </w:r>
      <w:r w:rsidR="00437A1F">
        <w:t>acza liczbę dyscyplin naukowych</w:t>
      </w:r>
      <w:r w:rsidRPr="004F5B12">
        <w:t>, w których jest</w:t>
      </w:r>
      <w:r w:rsidR="00DE2649">
        <w:t xml:space="preserve"> </w:t>
      </w:r>
      <w:r w:rsidRPr="004F5B12">
        <w:t xml:space="preserve">prowadzone kształcenie w </w:t>
      </w:r>
      <w:r w:rsidRPr="00BF1AAE">
        <w:rPr>
          <w:rStyle w:val="Kkursywa"/>
        </w:rPr>
        <w:t>d</w:t>
      </w:r>
      <w:r w:rsidR="008C54BE">
        <w:rPr>
          <w:rStyle w:val="Kkursywa"/>
        </w:rPr>
        <w:t xml:space="preserve"> </w:t>
      </w:r>
      <w:r w:rsidR="00B05AF4" w:rsidRPr="00B05AF4">
        <w:t>–</w:t>
      </w:r>
      <w:r w:rsidR="008C54BE">
        <w:t xml:space="preserve"> </w:t>
      </w:r>
      <w:r w:rsidRPr="004F5B12">
        <w:t>tej szkole doktorskiej,</w:t>
      </w:r>
      <w:r w:rsidR="00B05AF4">
        <w:t xml:space="preserve"> </w:t>
      </w:r>
    </w:p>
    <w:p w14:paraId="76DA2E45" w14:textId="37D0910C" w:rsidR="004F5B12" w:rsidRPr="004F5B12" w:rsidRDefault="004F5B12" w:rsidP="00BF357E">
      <w:pPr>
        <w:pStyle w:val="TIRtiret"/>
        <w:ind w:left="2268" w:hanging="425"/>
      </w:pPr>
      <w:r w:rsidRPr="00BF1AAE">
        <w:rPr>
          <w:rStyle w:val="Kkursywa"/>
        </w:rPr>
        <w:t>k</w:t>
      </w:r>
      <w:r w:rsidR="00B52CAF">
        <w:rPr>
          <w:rStyle w:val="IDKindeksdolnyikursywa"/>
        </w:rPr>
        <w:t>j</w:t>
      </w:r>
      <w:r w:rsidR="00273141">
        <w:rPr>
          <w:rStyle w:val="IDKindeksdolnyikursywa"/>
          <w:vertAlign w:val="baseline"/>
        </w:rPr>
        <w:tab/>
      </w:r>
      <w:r w:rsidRPr="004F5B12">
        <w:t>‒ oznacza współczynnik kosztochłonności prowadzenia działalności naukowej</w:t>
      </w:r>
      <w:r w:rsidR="00DE2649">
        <w:t xml:space="preserve"> </w:t>
      </w:r>
      <w:r w:rsidRPr="004F5B12">
        <w:t xml:space="preserve">w </w:t>
      </w:r>
      <w:r w:rsidRPr="00BF1AAE">
        <w:rPr>
          <w:rStyle w:val="Kkursywa"/>
        </w:rPr>
        <w:t>j</w:t>
      </w:r>
      <w:r w:rsidR="008C54BE">
        <w:rPr>
          <w:rStyle w:val="Kkursywa"/>
        </w:rPr>
        <w:t xml:space="preserve"> </w:t>
      </w:r>
      <w:r w:rsidR="00B05AF4" w:rsidRPr="00B05AF4">
        <w:t>–</w:t>
      </w:r>
      <w:r w:rsidR="008C54BE">
        <w:t xml:space="preserve"> </w:t>
      </w:r>
      <w:r w:rsidRPr="004F5B12">
        <w:t>tej dyscyplinie naukowej, określony w przepisach</w:t>
      </w:r>
      <w:r w:rsidR="00DE2649">
        <w:t xml:space="preserve"> </w:t>
      </w:r>
      <w:r w:rsidRPr="004F5B12">
        <w:t>wydanych na podstawie art. 367 ust. 2 ustawy,</w:t>
      </w:r>
      <w:r w:rsidR="00B05AF4">
        <w:t xml:space="preserve"> </w:t>
      </w:r>
    </w:p>
    <w:p w14:paraId="2B2E09F9" w14:textId="1D89824C" w:rsidR="004F5B12" w:rsidRPr="004F5B12" w:rsidRDefault="004F5B12" w:rsidP="00BF357E">
      <w:pPr>
        <w:pStyle w:val="TIRtiret"/>
        <w:ind w:left="2268" w:hanging="425"/>
      </w:pPr>
      <w:r w:rsidRPr="003F746E">
        <w:rPr>
          <w:rStyle w:val="Kkursywa"/>
        </w:rPr>
        <w:t>d</w:t>
      </w:r>
      <w:r w:rsidRPr="003F746E">
        <w:rPr>
          <w:rStyle w:val="IDKindeksdolnyikursywa"/>
        </w:rPr>
        <w:t>d</w:t>
      </w:r>
      <w:r w:rsidR="00273141">
        <w:tab/>
      </w:r>
      <w:r w:rsidRPr="004F5B12">
        <w:t>‒ oznacza sumę dyscyplin naukowych, w których jest</w:t>
      </w:r>
      <w:r w:rsidR="00DE2649">
        <w:t xml:space="preserve"> </w:t>
      </w:r>
      <w:r w:rsidRPr="004F5B12">
        <w:t xml:space="preserve">prowadzone kształcenie w </w:t>
      </w:r>
      <w:r w:rsidRPr="003F746E">
        <w:rPr>
          <w:rStyle w:val="Kkursywa"/>
        </w:rPr>
        <w:t>d</w:t>
      </w:r>
      <w:r w:rsidR="00B05AF4" w:rsidRPr="00B05AF4">
        <w:t>–</w:t>
      </w:r>
      <w:r w:rsidRPr="004F5B12">
        <w:t xml:space="preserve">tej szkole doktorskiej prowadzonej przez </w:t>
      </w:r>
      <w:r w:rsidRPr="003F746E">
        <w:rPr>
          <w:rStyle w:val="Kkursywa"/>
        </w:rPr>
        <w:t>i</w:t>
      </w:r>
      <w:r w:rsidR="008C54BE">
        <w:rPr>
          <w:rStyle w:val="Kkursywa"/>
        </w:rPr>
        <w:t xml:space="preserve"> </w:t>
      </w:r>
      <w:r w:rsidR="00B05AF4" w:rsidRPr="00B05AF4">
        <w:t>–</w:t>
      </w:r>
      <w:r w:rsidR="008C54BE">
        <w:t xml:space="preserve"> </w:t>
      </w:r>
      <w:r w:rsidRPr="004F5B12">
        <w:t>tę</w:t>
      </w:r>
      <w:r w:rsidR="00DE2649">
        <w:t xml:space="preserve"> uczelnię medyczną</w:t>
      </w:r>
      <w:r w:rsidRPr="004F5B12">
        <w:t>,</w:t>
      </w:r>
      <w:r w:rsidR="00B05AF4">
        <w:t xml:space="preserve"> </w:t>
      </w:r>
    </w:p>
    <w:p w14:paraId="20416781" w14:textId="77777777" w:rsidR="004F5B12" w:rsidRPr="004F5B12" w:rsidRDefault="004F5B12" w:rsidP="00273141">
      <w:pPr>
        <w:pStyle w:val="TIRtiret"/>
        <w:ind w:left="1276" w:hanging="709"/>
      </w:pPr>
      <w:r w:rsidRPr="00282C8D">
        <w:rPr>
          <w:rStyle w:val="Kkursywa"/>
        </w:rPr>
        <w:t>n</w:t>
      </w:r>
      <w:r w:rsidR="00273141">
        <w:tab/>
      </w:r>
      <w:r w:rsidRPr="004F5B12">
        <w:t>‒</w:t>
      </w:r>
      <w:r w:rsidR="00282C8D">
        <w:t xml:space="preserve"> </w:t>
      </w:r>
      <w:r w:rsidRPr="004F5B12">
        <w:t xml:space="preserve">oznacza liczbę </w:t>
      </w:r>
      <w:r w:rsidR="00DE2649">
        <w:t>uczelni medycznych</w:t>
      </w:r>
      <w:r w:rsidR="00437A1F">
        <w:t>.</w:t>
      </w:r>
    </w:p>
    <w:p w14:paraId="3791D6F2" w14:textId="52C99973" w:rsidR="004016EC" w:rsidRDefault="004016EC" w:rsidP="004F5B12">
      <w:r>
        <w:t>6</w:t>
      </w:r>
      <w:r w:rsidR="004F5B12" w:rsidRPr="008A091F">
        <w:t>.</w:t>
      </w:r>
      <w:r w:rsidR="002C11D5">
        <w:tab/>
      </w:r>
      <w:r w:rsidR="004F5B12" w:rsidRPr="008A091F">
        <w:t xml:space="preserve">Składnik projektowy </w:t>
      </w:r>
      <w:r w:rsidR="004F5B12" w:rsidRPr="008A091F">
        <w:rPr>
          <w:rStyle w:val="Kkursywa"/>
        </w:rPr>
        <w:t>i</w:t>
      </w:r>
      <w:r w:rsidR="00B05AF4" w:rsidRPr="00B05AF4">
        <w:t>–</w:t>
      </w:r>
      <w:r w:rsidR="004F5B12" w:rsidRPr="008A091F">
        <w:t xml:space="preserve">tej </w:t>
      </w:r>
      <w:r w:rsidR="000379B5">
        <w:t>uczelni medycznej</w:t>
      </w:r>
      <w:r w:rsidR="004F5B12" w:rsidRPr="008A091F">
        <w:t xml:space="preserve"> oblicza się według wzoru:</w:t>
      </w:r>
      <w:r w:rsidR="00B05AF4">
        <w:t xml:space="preserve"> </w:t>
      </w:r>
    </w:p>
    <w:p w14:paraId="044882A4" w14:textId="70EFE531" w:rsidR="008A091F" w:rsidRDefault="00D425F8" w:rsidP="004016EC">
      <w:pPr>
        <w:jc w:val="center"/>
        <w:rPr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lang w:eastAsia="en-US"/>
                </w:rPr>
                <m:t>P</m:t>
              </m:r>
            </m:e>
            <m:sub>
              <m:r>
                <w:rPr>
                  <w:rFonts w:ascii="Cambria Math" w:hAnsi="Cambria Math"/>
                  <w:lang w:eastAsia="en-US"/>
                </w:rPr>
                <m:t>i</m:t>
              </m:r>
            </m:sub>
          </m:sSub>
          <m:r>
            <w:rPr>
              <w:rFonts w:ascii="Cambria Math" w:hAnsi="Cambria Math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Lkraj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2</m:t>
                  </m:r>
                  <m:r>
                    <w:rPr>
                      <w:rFonts w:ascii="Cambria Math" w:hAnsi="Cambria Math"/>
                      <w:lang w:eastAsia="en-US"/>
                    </w:rPr>
                    <m:t>Lzagr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>+10</m:t>
              </m:r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L</m:t>
                  </m:r>
                  <m:r>
                    <w:rPr>
                      <w:rFonts w:ascii="Cambria Math" w:hAnsi="Cambria Math"/>
                      <w:lang w:eastAsia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>+5</m:t>
              </m:r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U</m:t>
                  </m:r>
                  <m:r>
                    <w:rPr>
                      <w:rFonts w:ascii="Cambria Math" w:hAnsi="Cambria Math"/>
                      <w:lang w:eastAsia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lang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Lkraj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Lzagr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en-US"/>
                        </w:rPr>
                        <m:t>+10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en-US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U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den>
          </m:f>
        </m:oMath>
      </m:oMathPara>
    </w:p>
    <w:p w14:paraId="6CC8883F" w14:textId="77777777" w:rsidR="004F5B12" w:rsidRPr="004F5B12" w:rsidRDefault="004F5B12" w:rsidP="003154D7">
      <w:pPr>
        <w:pStyle w:val="LEGWMATFIZCHEMlegendawzorumatfizlubchem"/>
        <w:ind w:left="567" w:hanging="567"/>
      </w:pPr>
      <w:r w:rsidRPr="004F5B12">
        <w:t>gdzie:</w:t>
      </w:r>
    </w:p>
    <w:p w14:paraId="641FBB57" w14:textId="65083916" w:rsidR="004F5B12" w:rsidRPr="004F5B12" w:rsidRDefault="004F5B12" w:rsidP="00312F25">
      <w:pPr>
        <w:pStyle w:val="TIRtiret"/>
        <w:ind w:left="1418" w:hanging="851"/>
      </w:pPr>
      <w:r w:rsidRPr="009448BF">
        <w:rPr>
          <w:rStyle w:val="Kkursywa"/>
        </w:rPr>
        <w:t>Lkraj</w:t>
      </w:r>
      <w:r w:rsidRPr="009448BF">
        <w:rPr>
          <w:rStyle w:val="IDKindeksdolnyikursywa"/>
        </w:rPr>
        <w:t>i</w:t>
      </w:r>
      <w:r w:rsidR="003154D7">
        <w:rPr>
          <w:rStyle w:val="IDKindeksdolnyikursywa"/>
        </w:rPr>
        <w:tab/>
      </w:r>
      <w:r w:rsidRPr="004F5B12">
        <w:t xml:space="preserve">‒ oznacza liczbę projektów w </w:t>
      </w:r>
      <w:r w:rsidRPr="009448BF">
        <w:rPr>
          <w:rStyle w:val="Kkursywa"/>
        </w:rPr>
        <w:t>i</w:t>
      </w:r>
      <w:r w:rsidR="008C54BE">
        <w:rPr>
          <w:rStyle w:val="Kkursywa"/>
        </w:rPr>
        <w:t xml:space="preserve"> </w:t>
      </w:r>
      <w:r w:rsidR="00B05AF4" w:rsidRPr="00B05AF4">
        <w:t>–</w:t>
      </w:r>
      <w:r w:rsidR="008C54BE">
        <w:t xml:space="preserve"> </w:t>
      </w:r>
      <w:r w:rsidRPr="004F5B12">
        <w:t xml:space="preserve">tej </w:t>
      </w:r>
      <w:r w:rsidR="000379B5">
        <w:t>uczelni medycznej</w:t>
      </w:r>
      <w:r w:rsidR="004929C2">
        <w:t xml:space="preserve"> </w:t>
      </w:r>
      <w:r w:rsidRPr="004F5B12">
        <w:t>realizowanych</w:t>
      </w:r>
      <w:r w:rsidR="00DE2649">
        <w:t xml:space="preserve"> </w:t>
      </w:r>
      <w:r w:rsidRPr="004F5B12">
        <w:t>samodzielnie lub w ramach konsorcjum, na które</w:t>
      </w:r>
      <w:r w:rsidR="00DE2649">
        <w:t xml:space="preserve"> </w:t>
      </w:r>
      <w:r w:rsidRPr="009448BF">
        <w:rPr>
          <w:rStyle w:val="Kkursywa"/>
        </w:rPr>
        <w:t>i</w:t>
      </w:r>
      <w:r w:rsidR="008C54BE">
        <w:rPr>
          <w:rStyle w:val="Kkursywa"/>
        </w:rPr>
        <w:t xml:space="preserve"> </w:t>
      </w:r>
      <w:r w:rsidR="00B05AF4" w:rsidRPr="00B05AF4">
        <w:t>–</w:t>
      </w:r>
      <w:r w:rsidR="008C54BE">
        <w:t xml:space="preserve"> </w:t>
      </w:r>
      <w:r w:rsidRPr="004F5B12">
        <w:t xml:space="preserve">ta uczelnia otrzymała </w:t>
      </w:r>
      <w:r w:rsidRPr="004F5B12">
        <w:lastRenderedPageBreak/>
        <w:t>finansowanie lub</w:t>
      </w:r>
      <w:r w:rsidR="004929C2">
        <w:t xml:space="preserve"> </w:t>
      </w:r>
      <w:r w:rsidRPr="004F5B12">
        <w:t>dofinansowanie w roku poprzedzającym rok</w:t>
      </w:r>
      <w:r w:rsidR="00DE2649">
        <w:t xml:space="preserve"> </w:t>
      </w:r>
      <w:r w:rsidRPr="004F5B12">
        <w:t>przyznania subwencji, w ramach</w:t>
      </w:r>
      <w:r w:rsidR="004929C2">
        <w:t xml:space="preserve"> </w:t>
      </w:r>
      <w:r w:rsidRPr="004F5B12">
        <w:t>zadań, o których mowa w art. 365 pkt 11 i 12 ustawy,</w:t>
      </w:r>
      <w:r w:rsidR="00DE2649">
        <w:t xml:space="preserve"> </w:t>
      </w:r>
      <w:r w:rsidRPr="004F5B12">
        <w:t>z wyłączeniem</w:t>
      </w:r>
      <w:r w:rsidR="004929C2">
        <w:t xml:space="preserve"> </w:t>
      </w:r>
      <w:r w:rsidRPr="004F5B12">
        <w:t>projektów realizowanych w ramach programów lub inicjatyw</w:t>
      </w:r>
      <w:r w:rsidR="00DE2649">
        <w:t xml:space="preserve"> </w:t>
      </w:r>
      <w:r w:rsidRPr="004F5B12">
        <w:t>międzynarodowych oraz projektów na rzecz obronności i bezpieczeństwa</w:t>
      </w:r>
      <w:r w:rsidR="004929C2">
        <w:t xml:space="preserve"> </w:t>
      </w:r>
      <w:r w:rsidRPr="004F5B12">
        <w:t>państwa,</w:t>
      </w:r>
      <w:r w:rsidR="00B05AF4">
        <w:t xml:space="preserve">  </w:t>
      </w:r>
      <w:r w:rsidR="00A5216C">
        <w:t xml:space="preserve">  </w:t>
      </w:r>
    </w:p>
    <w:p w14:paraId="3062EC85" w14:textId="25AA839E" w:rsidR="004F5B12" w:rsidRPr="004F5B12" w:rsidRDefault="004F5B12" w:rsidP="00312F25">
      <w:pPr>
        <w:pStyle w:val="LEGWMATFIZCHEMlegendawzorumatfizlubchem"/>
        <w:ind w:left="1418" w:hanging="851"/>
      </w:pPr>
      <w:r w:rsidRPr="00ED4A13">
        <w:rPr>
          <w:rStyle w:val="Kkursywa"/>
        </w:rPr>
        <w:t>Lzagr</w:t>
      </w:r>
      <w:r w:rsidRPr="00ED4A13">
        <w:rPr>
          <w:rStyle w:val="IDKindeksdolnyikursywa"/>
        </w:rPr>
        <w:t>i</w:t>
      </w:r>
      <w:r w:rsidR="00312F25">
        <w:tab/>
      </w:r>
      <w:r w:rsidRPr="004F5B12">
        <w:t>‒ oznacza liczbę projektów realizowanych w ramach programów</w:t>
      </w:r>
      <w:r w:rsidR="004929C2">
        <w:t xml:space="preserve"> </w:t>
      </w:r>
      <w:r w:rsidRPr="004F5B12">
        <w:t>międzynarodowych</w:t>
      </w:r>
      <w:r w:rsidR="00DE2649">
        <w:t xml:space="preserve"> </w:t>
      </w:r>
      <w:r w:rsidRPr="004F5B12">
        <w:t xml:space="preserve">przez </w:t>
      </w:r>
      <w:r w:rsidRPr="00ED4A13">
        <w:rPr>
          <w:rStyle w:val="Kkursywa"/>
        </w:rPr>
        <w:t>i</w:t>
      </w:r>
      <w:r w:rsidR="008C54BE">
        <w:rPr>
          <w:rStyle w:val="Kkursywa"/>
        </w:rPr>
        <w:t xml:space="preserve"> </w:t>
      </w:r>
      <w:r w:rsidR="00A5216C" w:rsidRPr="00A5216C">
        <w:t>–</w:t>
      </w:r>
      <w:r w:rsidR="008C54BE">
        <w:t xml:space="preserve"> </w:t>
      </w:r>
      <w:r w:rsidRPr="004F5B12">
        <w:t xml:space="preserve">tę </w:t>
      </w:r>
      <w:r w:rsidR="00DE2649">
        <w:t>uczelnię medyczną</w:t>
      </w:r>
      <w:r w:rsidRPr="004F5B12">
        <w:t xml:space="preserve"> samodzielnie</w:t>
      </w:r>
      <w:r w:rsidR="004929C2">
        <w:t xml:space="preserve"> </w:t>
      </w:r>
      <w:r w:rsidRPr="004F5B12">
        <w:t>lub w ramach konsorcjum,</w:t>
      </w:r>
      <w:r w:rsidR="00DE2649">
        <w:t xml:space="preserve"> </w:t>
      </w:r>
      <w:r w:rsidRPr="004F5B12">
        <w:t xml:space="preserve">na które </w:t>
      </w:r>
      <w:r w:rsidRPr="00ED4A13">
        <w:rPr>
          <w:rStyle w:val="Kkursywa"/>
        </w:rPr>
        <w:t>i</w:t>
      </w:r>
      <w:r w:rsidR="008C54BE">
        <w:rPr>
          <w:rStyle w:val="Kkursywa"/>
        </w:rPr>
        <w:t xml:space="preserve"> </w:t>
      </w:r>
      <w:r w:rsidR="00A5216C" w:rsidRPr="00A5216C">
        <w:t>–</w:t>
      </w:r>
      <w:r w:rsidR="008C54BE">
        <w:t xml:space="preserve"> </w:t>
      </w:r>
      <w:r w:rsidRPr="004F5B12">
        <w:t>ta uczelnia otrzymała finansowanie lub</w:t>
      </w:r>
      <w:r w:rsidR="00DE2649">
        <w:t xml:space="preserve"> </w:t>
      </w:r>
      <w:r w:rsidRPr="004F5B12">
        <w:t>dofinansowanie w roku</w:t>
      </w:r>
      <w:r w:rsidR="004929C2">
        <w:t xml:space="preserve"> </w:t>
      </w:r>
      <w:r w:rsidRPr="004F5B12">
        <w:t>poprzedzającym rok przyznania subwencji, w ramach zadań,</w:t>
      </w:r>
      <w:r w:rsidR="00DE2649">
        <w:t xml:space="preserve"> </w:t>
      </w:r>
      <w:r w:rsidRPr="004F5B12">
        <w:t>o których mowa</w:t>
      </w:r>
      <w:r w:rsidR="004929C2">
        <w:t xml:space="preserve"> </w:t>
      </w:r>
      <w:r w:rsidRPr="004F5B12">
        <w:t>w art. 365 pkt 11 i 12 ustawy, z wyłączeniem projektów realizowanych</w:t>
      </w:r>
      <w:r w:rsidR="00DE2649">
        <w:t xml:space="preserve"> </w:t>
      </w:r>
      <w:r w:rsidRPr="004F5B12">
        <w:t>w ramach programu ramowego w zakresie badań naukowych i innowacji</w:t>
      </w:r>
      <w:r w:rsidR="004929C2">
        <w:t xml:space="preserve"> </w:t>
      </w:r>
      <w:r w:rsidRPr="004F5B12">
        <w:t>(2014–2020)</w:t>
      </w:r>
      <w:r w:rsidR="00DE2649">
        <w:t xml:space="preserve"> </w:t>
      </w:r>
      <w:r>
        <w:t>„</w:t>
      </w:r>
      <w:r w:rsidRPr="004F5B12">
        <w:t>HORYZONT 2020</w:t>
      </w:r>
      <w:r>
        <w:t>”</w:t>
      </w:r>
      <w:r w:rsidRPr="004F5B12">
        <w:t xml:space="preserve"> oraz w ramach programu ramowego w zakresie badań</w:t>
      </w:r>
      <w:r w:rsidR="00DE2649">
        <w:t xml:space="preserve"> </w:t>
      </w:r>
      <w:r w:rsidRPr="004F5B12">
        <w:t xml:space="preserve">naukowych i innowacji (2021–2027) </w:t>
      </w:r>
      <w:r>
        <w:t>„</w:t>
      </w:r>
      <w:r w:rsidRPr="004F5B12">
        <w:t>HORYZONT EUROPA</w:t>
      </w:r>
      <w:r>
        <w:t>”</w:t>
      </w:r>
      <w:r w:rsidRPr="004F5B12">
        <w:t>,</w:t>
      </w:r>
    </w:p>
    <w:p w14:paraId="5E188414" w14:textId="702A0D0E" w:rsidR="004F5B12" w:rsidRPr="004F5B12" w:rsidRDefault="004F5B12" w:rsidP="00312F25">
      <w:pPr>
        <w:pStyle w:val="TIRtiret"/>
        <w:ind w:left="1418" w:hanging="851"/>
      </w:pPr>
      <w:r w:rsidRPr="0001720B">
        <w:rPr>
          <w:rStyle w:val="Kkursywa"/>
        </w:rPr>
        <w:t>Lh</w:t>
      </w:r>
      <w:r w:rsidRPr="0001720B">
        <w:rPr>
          <w:rStyle w:val="IDKindeksdolnyikursywa"/>
        </w:rPr>
        <w:t>i</w:t>
      </w:r>
      <w:r w:rsidR="00312F25">
        <w:tab/>
      </w:r>
      <w:r w:rsidRPr="004F5B12">
        <w:t>‒ oznacza liczbę projektów realizowanych w ramach progra</w:t>
      </w:r>
      <w:r w:rsidR="0001720B">
        <w:t>mów międzynarodowych</w:t>
      </w:r>
      <w:r w:rsidR="00DE2649">
        <w:t xml:space="preserve"> </w:t>
      </w:r>
      <w:r w:rsidR="0001720B">
        <w:t xml:space="preserve">przez </w:t>
      </w:r>
      <w:r w:rsidR="0001720B" w:rsidRPr="00C52D37">
        <w:rPr>
          <w:rStyle w:val="Kkursywa"/>
        </w:rPr>
        <w:t>i</w:t>
      </w:r>
      <w:r w:rsidR="008C54BE">
        <w:rPr>
          <w:rStyle w:val="Kkursywa"/>
        </w:rPr>
        <w:t xml:space="preserve"> </w:t>
      </w:r>
      <w:r w:rsidR="00A5216C" w:rsidRPr="00A5216C">
        <w:t>–</w:t>
      </w:r>
      <w:r w:rsidR="008C54BE">
        <w:t xml:space="preserve"> </w:t>
      </w:r>
      <w:r w:rsidR="0001720B">
        <w:t xml:space="preserve">tę </w:t>
      </w:r>
      <w:r w:rsidR="00DE2649">
        <w:t>uczelnię medyczną</w:t>
      </w:r>
      <w:r w:rsidRPr="004F5B12">
        <w:t xml:space="preserve"> samodzielnie lub w ramach konsorcjum,</w:t>
      </w:r>
      <w:r w:rsidR="00DE2649">
        <w:t xml:space="preserve"> </w:t>
      </w:r>
      <w:r w:rsidRPr="004F5B12">
        <w:t xml:space="preserve">jeżeli </w:t>
      </w:r>
      <w:r w:rsidRPr="00C52D37">
        <w:rPr>
          <w:rStyle w:val="Kkursywa"/>
        </w:rPr>
        <w:t>i</w:t>
      </w:r>
      <w:r w:rsidR="00A5216C" w:rsidRPr="00A5216C">
        <w:t>–</w:t>
      </w:r>
      <w:r w:rsidRPr="004F5B12">
        <w:t>ta uczelnia była jego liderem, w roku poprzedzającym rok przyznania</w:t>
      </w:r>
      <w:r w:rsidR="00DE2649">
        <w:t xml:space="preserve"> </w:t>
      </w:r>
      <w:r w:rsidR="00C52D37">
        <w:t xml:space="preserve">subwencji, </w:t>
      </w:r>
      <w:r w:rsidRPr="004F5B12">
        <w:t>w ramach programu ramowego w zakresie badań naukowych i innowacji</w:t>
      </w:r>
      <w:r w:rsidR="00DE2649">
        <w:t xml:space="preserve"> </w:t>
      </w:r>
      <w:r w:rsidRPr="004F5B12">
        <w:t xml:space="preserve">(2014–2020) </w:t>
      </w:r>
      <w:r>
        <w:t>„</w:t>
      </w:r>
      <w:r w:rsidRPr="004F5B12">
        <w:t>HORYZONT 2020</w:t>
      </w:r>
      <w:r>
        <w:t>”</w:t>
      </w:r>
      <w:r w:rsidRPr="004F5B12">
        <w:t xml:space="preserve"> lub w ramach programu ramowego w zakresie</w:t>
      </w:r>
      <w:r w:rsidR="00DE2649">
        <w:t xml:space="preserve"> </w:t>
      </w:r>
      <w:r w:rsidRPr="004F5B12">
        <w:t xml:space="preserve">badań naukowych i innowacji (2021–2027) </w:t>
      </w:r>
      <w:r>
        <w:t>„</w:t>
      </w:r>
      <w:r w:rsidRPr="004F5B12">
        <w:t>HORYZONT EUROPA</w:t>
      </w:r>
      <w:r>
        <w:t>”</w:t>
      </w:r>
      <w:r w:rsidRPr="004F5B12">
        <w:t>,</w:t>
      </w:r>
      <w:r w:rsidR="00A5216C">
        <w:t xml:space="preserve">  </w:t>
      </w:r>
    </w:p>
    <w:p w14:paraId="6D8FE454" w14:textId="7C4EA3F7" w:rsidR="004F5B12" w:rsidRPr="004F5B12" w:rsidRDefault="004F5B12" w:rsidP="00312F25">
      <w:pPr>
        <w:pStyle w:val="TIRtiret"/>
        <w:ind w:left="1418" w:hanging="851"/>
      </w:pPr>
      <w:r w:rsidRPr="002B1F90">
        <w:rPr>
          <w:rStyle w:val="Kkursywa"/>
        </w:rPr>
        <w:t>Uh</w:t>
      </w:r>
      <w:r w:rsidRPr="002B1F90">
        <w:rPr>
          <w:rStyle w:val="IDKindeksdolnyikursywa"/>
        </w:rPr>
        <w:t>i</w:t>
      </w:r>
      <w:r w:rsidR="00312F25">
        <w:rPr>
          <w:rStyle w:val="IDKindeksdolnyikursywa"/>
          <w:vertAlign w:val="baseline"/>
        </w:rPr>
        <w:tab/>
      </w:r>
      <w:r w:rsidRPr="004F5B12">
        <w:t>−</w:t>
      </w:r>
      <w:r w:rsidR="002B1F90">
        <w:t xml:space="preserve"> </w:t>
      </w:r>
      <w:r w:rsidRPr="004F5B12">
        <w:t>oznacza liczbę projektów realizowanych w ramach programów międzynarodowych</w:t>
      </w:r>
      <w:r w:rsidR="00DE2649">
        <w:t xml:space="preserve"> p</w:t>
      </w:r>
      <w:r w:rsidRPr="004F5B12">
        <w:t xml:space="preserve">rzez </w:t>
      </w:r>
      <w:r w:rsidRPr="002B1F90">
        <w:rPr>
          <w:rStyle w:val="Kkursywa"/>
        </w:rPr>
        <w:t>i</w:t>
      </w:r>
      <w:r w:rsidR="008C54BE">
        <w:rPr>
          <w:rStyle w:val="Kkursywa"/>
        </w:rPr>
        <w:t xml:space="preserve"> </w:t>
      </w:r>
      <w:r w:rsidR="00C912D0" w:rsidRPr="00C912D0">
        <w:t>–</w:t>
      </w:r>
      <w:r w:rsidR="008C54BE">
        <w:t xml:space="preserve"> </w:t>
      </w:r>
      <w:r w:rsidRPr="004F5B12">
        <w:t xml:space="preserve">tę </w:t>
      </w:r>
      <w:r w:rsidR="00DE2649">
        <w:t>uczelnię medyczną</w:t>
      </w:r>
      <w:r w:rsidRPr="004F5B12">
        <w:t xml:space="preserve"> jako członka konsorcjum, niebędącego</w:t>
      </w:r>
      <w:r w:rsidR="00DE2649">
        <w:t xml:space="preserve"> </w:t>
      </w:r>
      <w:r w:rsidRPr="004F5B12">
        <w:t>liderem tego konsorcjum, w roku poprzedzającym rok przyznania subwencji, w ramach</w:t>
      </w:r>
      <w:r w:rsidR="00DE2649">
        <w:t xml:space="preserve"> </w:t>
      </w:r>
      <w:r w:rsidRPr="004F5B12">
        <w:t>programu ramowego w zakresie badań naukowych i innowacji (2014‒2020)</w:t>
      </w:r>
      <w:r w:rsidR="00DE2649">
        <w:t xml:space="preserve"> </w:t>
      </w:r>
      <w:r>
        <w:t>„</w:t>
      </w:r>
      <w:r w:rsidRPr="004F5B12">
        <w:t>HORYZONT 2020</w:t>
      </w:r>
      <w:r>
        <w:t>”</w:t>
      </w:r>
      <w:r w:rsidRPr="004F5B12">
        <w:t xml:space="preserve"> lub w ramach programu ramowego w zakresie badań naukowych</w:t>
      </w:r>
      <w:r w:rsidR="00DE2649">
        <w:t xml:space="preserve"> </w:t>
      </w:r>
      <w:r w:rsidRPr="004F5B12">
        <w:t xml:space="preserve">i innowacji (2021–2027) </w:t>
      </w:r>
      <w:r>
        <w:t>„</w:t>
      </w:r>
      <w:r w:rsidRPr="004F5B12">
        <w:t>HORYZONT EUROPA</w:t>
      </w:r>
      <w:r>
        <w:t>”</w:t>
      </w:r>
      <w:r w:rsidRPr="004F5B12">
        <w:t>,</w:t>
      </w:r>
      <w:r w:rsidR="00C912D0">
        <w:t xml:space="preserve"> </w:t>
      </w:r>
    </w:p>
    <w:p w14:paraId="44376E64" w14:textId="3B6F28DC" w:rsidR="004F5B12" w:rsidRDefault="00312F25" w:rsidP="00312F25">
      <w:pPr>
        <w:pStyle w:val="TIRtiret"/>
        <w:ind w:left="1418" w:hanging="851"/>
      </w:pPr>
      <w:r>
        <w:rPr>
          <w:rStyle w:val="Kkursywa"/>
        </w:rPr>
        <w:t>n</w:t>
      </w:r>
      <w:r>
        <w:tab/>
      </w:r>
      <w:r w:rsidR="004F5B12" w:rsidRPr="004F5B12">
        <w:t xml:space="preserve">‒ oznacza liczbę </w:t>
      </w:r>
      <w:r w:rsidR="00DE2649">
        <w:t>uczelni medycznych</w:t>
      </w:r>
      <w:r w:rsidR="00454A81">
        <w:t>.</w:t>
      </w:r>
      <w:r w:rsidR="00C912D0">
        <w:t xml:space="preserve"> </w:t>
      </w:r>
    </w:p>
    <w:p w14:paraId="01F17317" w14:textId="383F0ADC" w:rsidR="004016EC" w:rsidRPr="004F5B12" w:rsidRDefault="004016EC" w:rsidP="004016EC">
      <w:pPr>
        <w:pStyle w:val="TIRtiret"/>
        <w:ind w:hanging="817"/>
      </w:pPr>
    </w:p>
    <w:p w14:paraId="7BF33C6D" w14:textId="55A9C697" w:rsidR="004016EC" w:rsidRDefault="004016EC" w:rsidP="004016EC">
      <w:r w:rsidRPr="00F1421E">
        <w:t xml:space="preserve">7. Składnik kliniczny </w:t>
      </w:r>
      <w:r w:rsidRPr="00C912D0">
        <w:rPr>
          <w:rStyle w:val="Kkursywa"/>
        </w:rPr>
        <w:t>i</w:t>
      </w:r>
      <w:r w:rsidR="00C912D0" w:rsidRPr="00A16763">
        <w:rPr>
          <w:i/>
        </w:rPr>
        <w:t>–</w:t>
      </w:r>
      <w:r w:rsidRPr="00C912D0">
        <w:rPr>
          <w:iCs/>
        </w:rPr>
        <w:t>tej</w:t>
      </w:r>
      <w:r w:rsidRPr="00F1421E">
        <w:t xml:space="preserve"> uczelni medycznej oblicza się według wzoru:</w:t>
      </w:r>
    </w:p>
    <w:p w14:paraId="3D62252C" w14:textId="7FE21F98" w:rsidR="004016EC" w:rsidRPr="00B25B1E" w:rsidRDefault="00D425F8" w:rsidP="004016E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Kl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Lsl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1,9</m:t>
                  </m:r>
                  <m:r>
                    <w:rPr>
                      <w:rFonts w:ascii="Cambria Math" w:hAnsi="Cambria Math"/>
                      <w:lang w:eastAsia="en-US"/>
                    </w:rPr>
                    <m:t>Lss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0,7</m:t>
                  </m:r>
                  <m:r>
                    <w:rPr>
                      <w:rFonts w:ascii="Cambria Math" w:hAnsi="Cambria Math"/>
                      <w:lang w:eastAsia="en-US"/>
                    </w:rPr>
                    <m:t>Lsp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0,7</m:t>
                  </m:r>
                  <m:r>
                    <w:rPr>
                      <w:rFonts w:ascii="Cambria Math" w:hAnsi="Cambria Math"/>
                      <w:lang w:eastAsia="en-US"/>
                    </w:rPr>
                    <m:t>Lspo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0,5</m:t>
                  </m:r>
                  <m:r>
                    <w:rPr>
                      <w:rFonts w:ascii="Cambria Math" w:hAnsi="Cambria Math"/>
                      <w:lang w:eastAsia="en-US"/>
                    </w:rPr>
                    <m:t>Lsf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0,5</m:t>
                  </m:r>
                  <m:r>
                    <w:rPr>
                      <w:rFonts w:ascii="Cambria Math" w:hAnsi="Cambria Math"/>
                      <w:lang w:eastAsia="en-US"/>
                    </w:rPr>
                    <m:t>Lsr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Lsl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1,9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Lss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0,7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Lsp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en-US"/>
                        </w:rPr>
                        <m:t xml:space="preserve">+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0,7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Lspo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en-US"/>
                        </w:rPr>
                        <m:t xml:space="preserve">+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0,5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Lsf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0,5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Lsr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den>
          </m:f>
        </m:oMath>
      </m:oMathPara>
    </w:p>
    <w:p w14:paraId="7938E152" w14:textId="77777777" w:rsidR="004016EC" w:rsidRPr="004F5B12" w:rsidRDefault="004016EC" w:rsidP="004016EC">
      <w:pPr>
        <w:pStyle w:val="LEGWMATFIZCHEMlegendawzorumatfizlubchem"/>
        <w:ind w:left="0" w:firstLine="0"/>
      </w:pPr>
      <w:r w:rsidRPr="004F5B12">
        <w:t>gdzie:</w:t>
      </w:r>
    </w:p>
    <w:p w14:paraId="16290CEA" w14:textId="562914EB" w:rsidR="004016EC" w:rsidRDefault="004016EC" w:rsidP="004016EC">
      <w:pPr>
        <w:pStyle w:val="TIRtiret"/>
        <w:ind w:left="1418" w:hanging="851"/>
      </w:pPr>
      <w:r w:rsidRPr="00C26EE9">
        <w:rPr>
          <w:rStyle w:val="Kkursywa"/>
        </w:rPr>
        <w:t>Ls</w:t>
      </w:r>
      <w:r w:rsidR="001E2D7E">
        <w:rPr>
          <w:rStyle w:val="Kkursywa"/>
        </w:rPr>
        <w:t>l</w:t>
      </w:r>
      <w:r w:rsidRPr="00C26EE9">
        <w:rPr>
          <w:rStyle w:val="IDKindeksdolnyikursywa"/>
        </w:rPr>
        <w:t>i</w:t>
      </w:r>
      <w:r w:rsidRPr="00C26EE9">
        <w:rPr>
          <w:rStyle w:val="Kkursywa"/>
        </w:rPr>
        <w:tab/>
      </w:r>
      <w:r w:rsidRPr="004F5B12">
        <w:t xml:space="preserve">‒ </w:t>
      </w:r>
      <w:r w:rsidR="001E2D7E" w:rsidRPr="001E2D7E">
        <w:t xml:space="preserve">oznacza liczbę studentów studiów </w:t>
      </w:r>
      <w:r w:rsidR="00613453">
        <w:t>(z wyłączeniem cudzoziemców)</w:t>
      </w:r>
      <w:r w:rsidR="001E2D7E" w:rsidRPr="001E2D7E">
        <w:t xml:space="preserve"> na kierunku</w:t>
      </w:r>
      <w:r w:rsidR="001E2D7E">
        <w:t xml:space="preserve"> lekarskim</w:t>
      </w:r>
      <w:r w:rsidR="001E2D7E" w:rsidRPr="001E2D7E">
        <w:t xml:space="preserve">, w </w:t>
      </w:r>
      <w:r w:rsidR="001E2D7E" w:rsidRPr="00A16763">
        <w:rPr>
          <w:i/>
          <w:iCs/>
        </w:rPr>
        <w:t>i</w:t>
      </w:r>
      <w:r w:rsidR="008C54BE">
        <w:rPr>
          <w:i/>
          <w:iCs/>
        </w:rPr>
        <w:t xml:space="preserve"> </w:t>
      </w:r>
      <w:r w:rsidR="00C912D0" w:rsidRPr="00A16763">
        <w:rPr>
          <w:i/>
          <w:iCs/>
        </w:rPr>
        <w:t>–</w:t>
      </w:r>
      <w:r w:rsidR="008C54BE">
        <w:rPr>
          <w:i/>
          <w:iCs/>
        </w:rPr>
        <w:t xml:space="preserve"> </w:t>
      </w:r>
      <w:r w:rsidR="001E2D7E" w:rsidRPr="00C912D0">
        <w:t>tej</w:t>
      </w:r>
      <w:r w:rsidR="001E2D7E" w:rsidRPr="001E2D7E">
        <w:t xml:space="preserve"> uczelni medycznej, z wyłączeniem cudzoziemców, według stanu na dzień 31 grudnia roku poprzedzającego rok przyznania subwencji</w:t>
      </w:r>
      <w:r w:rsidRPr="004F5B12">
        <w:t>,</w:t>
      </w:r>
    </w:p>
    <w:p w14:paraId="6E22708C" w14:textId="338CEEF8" w:rsidR="001E2D7E" w:rsidRPr="004F5B12" w:rsidRDefault="001E2D7E" w:rsidP="004016EC">
      <w:pPr>
        <w:pStyle w:val="TIRtiret"/>
        <w:ind w:left="1418" w:hanging="851"/>
      </w:pPr>
      <w:r w:rsidRPr="00C26EE9">
        <w:rPr>
          <w:rStyle w:val="Kkursywa"/>
        </w:rPr>
        <w:lastRenderedPageBreak/>
        <w:t>Ls</w:t>
      </w:r>
      <w:r>
        <w:rPr>
          <w:rStyle w:val="Kkursywa"/>
        </w:rPr>
        <w:t>s</w:t>
      </w:r>
      <w:r w:rsidRPr="00C26EE9">
        <w:rPr>
          <w:rStyle w:val="IDKindeksdolnyikursywa"/>
        </w:rPr>
        <w:t>i</w:t>
      </w:r>
      <w:r w:rsidRPr="00C26EE9">
        <w:rPr>
          <w:rStyle w:val="Kkursywa"/>
        </w:rPr>
        <w:tab/>
      </w:r>
      <w:r w:rsidRPr="004F5B12">
        <w:t xml:space="preserve">‒ </w:t>
      </w:r>
      <w:r w:rsidRPr="001E2D7E">
        <w:t xml:space="preserve">oznacza liczbę studentów studiów </w:t>
      </w:r>
      <w:r w:rsidR="00613453">
        <w:t>(z wyłączeniem cudzoziemców)</w:t>
      </w:r>
      <w:r w:rsidR="00613453" w:rsidRPr="001E2D7E">
        <w:t xml:space="preserve"> </w:t>
      </w:r>
      <w:r w:rsidRPr="001E2D7E">
        <w:t>na kierunku</w:t>
      </w:r>
      <w:r>
        <w:t xml:space="preserve"> lekarsko-dentystycznym</w:t>
      </w:r>
      <w:r w:rsidRPr="001E2D7E">
        <w:t xml:space="preserve">, w </w:t>
      </w:r>
      <w:r w:rsidRPr="00A16763">
        <w:rPr>
          <w:i/>
          <w:iCs/>
        </w:rPr>
        <w:t>i</w:t>
      </w:r>
      <w:r w:rsidR="008C54BE">
        <w:rPr>
          <w:i/>
          <w:iCs/>
        </w:rPr>
        <w:t xml:space="preserve"> </w:t>
      </w:r>
      <w:r w:rsidR="00B35A66" w:rsidRPr="00B35A66">
        <w:t>–</w:t>
      </w:r>
      <w:r w:rsidR="008C54BE">
        <w:t xml:space="preserve"> </w:t>
      </w:r>
      <w:r w:rsidRPr="001E2D7E">
        <w:t>tej uczelni medycznej, z wyłączeniem cudzoziemców, według stanu na dzień 31 grudnia roku poprzedzającego rok przyznania subwencji</w:t>
      </w:r>
      <w:r w:rsidRPr="004F5B12">
        <w:t>,</w:t>
      </w:r>
    </w:p>
    <w:p w14:paraId="3FE125E1" w14:textId="0E017E74" w:rsidR="004016EC" w:rsidRPr="004F5B12" w:rsidRDefault="004016EC" w:rsidP="004016EC">
      <w:pPr>
        <w:pStyle w:val="TIRtiret"/>
        <w:ind w:left="1418" w:hanging="851"/>
      </w:pPr>
      <w:r w:rsidRPr="001A1D63">
        <w:rPr>
          <w:rStyle w:val="Kkursywa"/>
        </w:rPr>
        <w:t>Lsp</w:t>
      </w:r>
      <w:r w:rsidRPr="001A1D63">
        <w:rPr>
          <w:rStyle w:val="IDKindeksdolnyikursywa"/>
        </w:rPr>
        <w:t>i</w:t>
      </w:r>
      <w:r w:rsidRPr="001A1D63">
        <w:rPr>
          <w:rStyle w:val="IDKindeksdolnyikursywa"/>
        </w:rPr>
        <w:tab/>
      </w:r>
      <w:r w:rsidRPr="004F5B12">
        <w:t xml:space="preserve">‒ </w:t>
      </w:r>
      <w:r w:rsidR="001E2D7E" w:rsidRPr="001E2D7E">
        <w:t xml:space="preserve">oznacza liczbę studentów studiów </w:t>
      </w:r>
      <w:r w:rsidR="00613453">
        <w:t>(z wyłączeniem cudzoziemców)</w:t>
      </w:r>
      <w:r w:rsidR="00613453" w:rsidRPr="001E2D7E">
        <w:t xml:space="preserve"> </w:t>
      </w:r>
      <w:r w:rsidR="001E2D7E" w:rsidRPr="001E2D7E">
        <w:t>na kierunku</w:t>
      </w:r>
      <w:r w:rsidR="001E2D7E">
        <w:t xml:space="preserve"> położnictwo na studiach I stopnia</w:t>
      </w:r>
      <w:r w:rsidR="001E2D7E" w:rsidRPr="001E2D7E">
        <w:t xml:space="preserve">, w </w:t>
      </w:r>
      <w:r w:rsidR="001E2D7E" w:rsidRPr="00A16763">
        <w:rPr>
          <w:i/>
          <w:iCs/>
        </w:rPr>
        <w:t>i</w:t>
      </w:r>
      <w:r w:rsidR="008C54BE">
        <w:rPr>
          <w:i/>
          <w:iCs/>
        </w:rPr>
        <w:t xml:space="preserve"> </w:t>
      </w:r>
      <w:r w:rsidR="00B35A66" w:rsidRPr="00B35A66">
        <w:t>–</w:t>
      </w:r>
      <w:r w:rsidR="008C54BE">
        <w:t xml:space="preserve"> </w:t>
      </w:r>
      <w:r w:rsidR="001E2D7E" w:rsidRPr="001E2D7E">
        <w:t>tej uczelni medycznej, z wyłączeniem cudzoziemców, według stanu na dzień 31 grudnia roku poprzedzającego rok przyznania subwencji</w:t>
      </w:r>
      <w:r w:rsidR="001E2D7E" w:rsidRPr="004F5B12">
        <w:t>,</w:t>
      </w:r>
    </w:p>
    <w:p w14:paraId="3B76FD68" w14:textId="38B2FD2C" w:rsidR="004016EC" w:rsidRDefault="004016EC" w:rsidP="004016EC">
      <w:pPr>
        <w:pStyle w:val="TIRtiret"/>
        <w:ind w:left="1418" w:hanging="851"/>
      </w:pPr>
      <w:r w:rsidRPr="00A27641">
        <w:rPr>
          <w:rStyle w:val="Kkursywa"/>
        </w:rPr>
        <w:t>L</w:t>
      </w:r>
      <w:r>
        <w:rPr>
          <w:rStyle w:val="Kkursywa"/>
        </w:rPr>
        <w:t>s</w:t>
      </w:r>
      <w:r w:rsidRPr="00A27641">
        <w:rPr>
          <w:rStyle w:val="Kkursywa"/>
        </w:rPr>
        <w:t>p</w:t>
      </w:r>
      <w:r w:rsidR="001E2D7E">
        <w:rPr>
          <w:rStyle w:val="Kkursywa"/>
        </w:rPr>
        <w:t>o</w:t>
      </w:r>
      <w:r w:rsidRPr="00A27641">
        <w:rPr>
          <w:rStyle w:val="IDKindeksdolnyikursywa"/>
        </w:rPr>
        <w:t>i</w:t>
      </w:r>
      <w:r>
        <w:rPr>
          <w:rStyle w:val="IDKindeksdolnyikursywa"/>
        </w:rPr>
        <w:tab/>
      </w:r>
      <w:r w:rsidRPr="004F5B12">
        <w:t xml:space="preserve">‒ </w:t>
      </w:r>
      <w:r w:rsidR="001E2D7E" w:rsidRPr="001E2D7E">
        <w:t xml:space="preserve">oznacza liczbę studentów studiów </w:t>
      </w:r>
      <w:r w:rsidR="00613453">
        <w:t>(z wyłączeniem cudzoziemców)</w:t>
      </w:r>
      <w:r w:rsidR="00613453" w:rsidRPr="001E2D7E">
        <w:t xml:space="preserve"> </w:t>
      </w:r>
      <w:r w:rsidR="001E2D7E" w:rsidRPr="001E2D7E">
        <w:t>na kierunku</w:t>
      </w:r>
      <w:r w:rsidR="001E2D7E">
        <w:t xml:space="preserve"> pielęgniarstwo na studiach I stopnia</w:t>
      </w:r>
      <w:r w:rsidR="001E2D7E" w:rsidRPr="001E2D7E">
        <w:t xml:space="preserve">, w </w:t>
      </w:r>
      <w:r w:rsidR="001E2D7E" w:rsidRPr="00A16763">
        <w:rPr>
          <w:i/>
          <w:iCs/>
        </w:rPr>
        <w:t>i</w:t>
      </w:r>
      <w:r w:rsidR="008C54BE">
        <w:rPr>
          <w:i/>
          <w:iCs/>
        </w:rPr>
        <w:t xml:space="preserve"> </w:t>
      </w:r>
      <w:r w:rsidR="00E01D85" w:rsidRPr="00E01D85">
        <w:t>–</w:t>
      </w:r>
      <w:r w:rsidR="008C54BE">
        <w:t xml:space="preserve"> </w:t>
      </w:r>
      <w:r w:rsidR="001E2D7E" w:rsidRPr="001E2D7E">
        <w:t>tej uczelni medycznej, z wyłączeniem cudzoziemców, według stanu na dzień 31 grudnia roku poprzedzającego rok przyznania subwencji</w:t>
      </w:r>
      <w:r w:rsidR="001E2D7E" w:rsidRPr="004F5B12">
        <w:t>,</w:t>
      </w:r>
    </w:p>
    <w:p w14:paraId="5EE4625C" w14:textId="03122945" w:rsidR="004016EC" w:rsidRDefault="004016EC" w:rsidP="004016EC">
      <w:pPr>
        <w:pStyle w:val="TIRtiret"/>
        <w:ind w:left="1418" w:hanging="851"/>
      </w:pPr>
      <w:r w:rsidRPr="00A27641">
        <w:rPr>
          <w:rStyle w:val="Kkursywa"/>
        </w:rPr>
        <w:t>L</w:t>
      </w:r>
      <w:r>
        <w:rPr>
          <w:rStyle w:val="Kkursywa"/>
        </w:rPr>
        <w:t>s</w:t>
      </w:r>
      <w:r w:rsidR="001E2D7E">
        <w:rPr>
          <w:rStyle w:val="Kkursywa"/>
        </w:rPr>
        <w:t>f</w:t>
      </w:r>
      <w:r w:rsidRPr="00A27641">
        <w:rPr>
          <w:rStyle w:val="IDKindeksdolnyikursywa"/>
        </w:rPr>
        <w:t>i</w:t>
      </w:r>
      <w:r>
        <w:rPr>
          <w:rStyle w:val="IDKindeksdolnyikursywa"/>
        </w:rPr>
        <w:tab/>
      </w:r>
      <w:r w:rsidRPr="004F5B12">
        <w:t xml:space="preserve">‒ </w:t>
      </w:r>
      <w:r w:rsidR="001E2D7E" w:rsidRPr="001E2D7E">
        <w:t xml:space="preserve">oznacza liczbę studentów studiów </w:t>
      </w:r>
      <w:r w:rsidR="00613453">
        <w:t>(z wyłączeniem cudzoziemców)</w:t>
      </w:r>
      <w:r w:rsidR="00613453" w:rsidRPr="001E2D7E">
        <w:t xml:space="preserve"> </w:t>
      </w:r>
      <w:r w:rsidR="001E2D7E" w:rsidRPr="001E2D7E">
        <w:t>na kierunku</w:t>
      </w:r>
      <w:r w:rsidR="001E2D7E">
        <w:t xml:space="preserve"> fizjoterapia</w:t>
      </w:r>
      <w:r w:rsidR="001E2D7E" w:rsidRPr="001E2D7E">
        <w:t xml:space="preserve">, w </w:t>
      </w:r>
      <w:r w:rsidR="001E2D7E" w:rsidRPr="00A16763">
        <w:rPr>
          <w:i/>
          <w:iCs/>
        </w:rPr>
        <w:t>i</w:t>
      </w:r>
      <w:r w:rsidR="008C54BE">
        <w:rPr>
          <w:i/>
          <w:iCs/>
        </w:rPr>
        <w:t xml:space="preserve"> </w:t>
      </w:r>
      <w:r w:rsidR="00E01D85" w:rsidRPr="00E01D85">
        <w:t>–</w:t>
      </w:r>
      <w:r w:rsidR="008C54BE">
        <w:t xml:space="preserve"> </w:t>
      </w:r>
      <w:r w:rsidR="001E2D7E" w:rsidRPr="001E2D7E">
        <w:t>tej uczelni medycznej, z wyłączeniem cudzoziemców, według stanu na dzień 31 grudnia roku poprzedzającego rok przyznania subwencji</w:t>
      </w:r>
      <w:r w:rsidR="001E2D7E" w:rsidRPr="004F5B12">
        <w:t>,</w:t>
      </w:r>
    </w:p>
    <w:p w14:paraId="7A9E4C9E" w14:textId="3FB5B038" w:rsidR="004016EC" w:rsidRPr="004F5B12" w:rsidRDefault="004016EC" w:rsidP="004016EC">
      <w:pPr>
        <w:pStyle w:val="TIRtiret"/>
        <w:ind w:left="1418" w:hanging="851"/>
      </w:pPr>
      <w:r w:rsidRPr="00A27641">
        <w:rPr>
          <w:rStyle w:val="Kkursywa"/>
        </w:rPr>
        <w:t>L</w:t>
      </w:r>
      <w:r w:rsidR="001E2D7E">
        <w:rPr>
          <w:rStyle w:val="Kkursywa"/>
        </w:rPr>
        <w:t>sr</w:t>
      </w:r>
      <w:r w:rsidRPr="00A27641">
        <w:rPr>
          <w:rStyle w:val="IDKindeksdolnyikursywa"/>
        </w:rPr>
        <w:t>i</w:t>
      </w:r>
      <w:r>
        <w:rPr>
          <w:rStyle w:val="IDKindeksdolnyikursywa"/>
          <w:vertAlign w:val="baseline"/>
        </w:rPr>
        <w:tab/>
      </w:r>
      <w:r w:rsidRPr="004F5B12">
        <w:t xml:space="preserve">‒ </w:t>
      </w:r>
      <w:r w:rsidR="001E2D7E" w:rsidRPr="001E2D7E">
        <w:t xml:space="preserve">oznacza liczbę studentów studiów </w:t>
      </w:r>
      <w:r w:rsidR="00613453">
        <w:t>(z wyłączeniem cudzoziemców)</w:t>
      </w:r>
      <w:r w:rsidR="00613453" w:rsidRPr="001E2D7E">
        <w:t xml:space="preserve"> </w:t>
      </w:r>
      <w:r w:rsidR="001E2D7E" w:rsidRPr="001E2D7E">
        <w:t>na kierunku</w:t>
      </w:r>
      <w:r w:rsidR="001E2D7E">
        <w:t xml:space="preserve"> ratownictwo medyczne na studiach I stopnia</w:t>
      </w:r>
      <w:r w:rsidR="001E2D7E" w:rsidRPr="001E2D7E">
        <w:t xml:space="preserve">, w </w:t>
      </w:r>
      <w:r w:rsidR="001E2D7E" w:rsidRPr="00A16763">
        <w:rPr>
          <w:i/>
          <w:iCs/>
        </w:rPr>
        <w:t>i</w:t>
      </w:r>
      <w:r w:rsidR="008C54BE">
        <w:rPr>
          <w:i/>
          <w:iCs/>
        </w:rPr>
        <w:t xml:space="preserve"> </w:t>
      </w:r>
      <w:r w:rsidR="00212E10" w:rsidRPr="00212E10">
        <w:t>–</w:t>
      </w:r>
      <w:r w:rsidR="008C54BE">
        <w:t xml:space="preserve"> </w:t>
      </w:r>
      <w:r w:rsidR="001E2D7E" w:rsidRPr="001E2D7E">
        <w:t>tej uczelni medycznej, z wyłączeniem cudzoziemców, według stanu na dzień 31 grudnia roku poprzedzającego rok przyznania subwencji</w:t>
      </w:r>
      <w:r w:rsidR="001E2D7E" w:rsidRPr="004F5B12">
        <w:t>,</w:t>
      </w:r>
      <w:r w:rsidR="00E01D85">
        <w:t xml:space="preserve"> </w:t>
      </w:r>
    </w:p>
    <w:p w14:paraId="25EE4A80" w14:textId="77777777" w:rsidR="004016EC" w:rsidRPr="004F5B12" w:rsidRDefault="004016EC" w:rsidP="004016EC">
      <w:pPr>
        <w:pStyle w:val="TIRtiret"/>
        <w:ind w:hanging="817"/>
      </w:pPr>
      <w:r>
        <w:rPr>
          <w:rStyle w:val="Kkursywa"/>
        </w:rPr>
        <w:t>n</w:t>
      </w:r>
      <w:r>
        <w:rPr>
          <w:rStyle w:val="Kkursywa"/>
        </w:rPr>
        <w:tab/>
      </w:r>
      <w:r w:rsidRPr="004F5B12">
        <w:t>‒</w:t>
      </w:r>
      <w:r>
        <w:t xml:space="preserve"> </w:t>
      </w:r>
      <w:r w:rsidRPr="004F5B12">
        <w:t xml:space="preserve">oznacza liczbę </w:t>
      </w:r>
      <w:r>
        <w:t>uczelni medycznych.</w:t>
      </w:r>
    </w:p>
    <w:p w14:paraId="79C7024D" w14:textId="7E98175D" w:rsidR="001E2D7E" w:rsidRDefault="001E2D7E" w:rsidP="001E2D7E">
      <w:r w:rsidRPr="00F1421E">
        <w:t xml:space="preserve">8. Składnik domów studenta </w:t>
      </w:r>
      <w:r w:rsidRPr="00F1421E">
        <w:rPr>
          <w:rStyle w:val="Kkursywa"/>
        </w:rPr>
        <w:t>i</w:t>
      </w:r>
      <w:r w:rsidR="00212E10" w:rsidRPr="00212E10">
        <w:t>–</w:t>
      </w:r>
      <w:r w:rsidRPr="00F1421E">
        <w:t>tej uczelni medycznej oblicza się według wzoru:</w:t>
      </w:r>
    </w:p>
    <w:p w14:paraId="62B04C6A" w14:textId="2F6DDBE5" w:rsidR="001E2D7E" w:rsidRPr="00B25B1E" w:rsidRDefault="00D425F8" w:rsidP="001E2D7E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Ls</m:t>
                  </m:r>
                  <m:r>
                    <w:rPr>
                      <w:rFonts w:ascii="Cambria Math" w:hAnsi="Cambria Math"/>
                      <w:lang w:eastAsia="en-US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2</m:t>
                  </m:r>
                  <m:r>
                    <w:rPr>
                      <w:rFonts w:ascii="Cambria Math" w:hAnsi="Cambria Math"/>
                      <w:lang w:eastAsia="en-US"/>
                    </w:rPr>
                    <m:t>Ls</m:t>
                  </m:r>
                  <m:r>
                    <w:rPr>
                      <w:rFonts w:ascii="Cambria Math" w:hAnsi="Cambria Math"/>
                      <w:lang w:eastAsia="en-US"/>
                    </w:rPr>
                    <m:t>2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2</m:t>
                  </m:r>
                  <m:r>
                    <w:rPr>
                      <w:rFonts w:ascii="Cambria Math" w:hAnsi="Cambria Math"/>
                      <w:lang w:eastAsia="en-US"/>
                    </w:rPr>
                    <m:t>Lsp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Lsl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en-US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Ls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1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Ls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eastAsia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Lsp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den>
          </m:f>
        </m:oMath>
      </m:oMathPara>
    </w:p>
    <w:p w14:paraId="207075DF" w14:textId="37E24F33" w:rsidR="001E2D7E" w:rsidRPr="004F5B12" w:rsidRDefault="001E2D7E" w:rsidP="001E2D7E">
      <w:pPr>
        <w:pStyle w:val="LEGWMATFIZCHEMlegendawzorumatfizlubchem"/>
        <w:ind w:left="0" w:firstLine="0"/>
      </w:pPr>
      <w:r w:rsidRPr="004F5B12">
        <w:t>gdzie:</w:t>
      </w:r>
      <w:r w:rsidR="003E7947">
        <w:t xml:space="preserve"> </w:t>
      </w:r>
    </w:p>
    <w:p w14:paraId="1566AD0D" w14:textId="7B0AFB64" w:rsidR="001E2D7E" w:rsidRDefault="001E2D7E" w:rsidP="001E2D7E">
      <w:pPr>
        <w:pStyle w:val="TIRtiret"/>
        <w:ind w:left="1418" w:hanging="851"/>
      </w:pPr>
      <w:r w:rsidRPr="00C26EE9">
        <w:rPr>
          <w:rStyle w:val="Kkursywa"/>
        </w:rPr>
        <w:t>Ls</w:t>
      </w:r>
      <w:r>
        <w:rPr>
          <w:rStyle w:val="Kkursywa"/>
        </w:rPr>
        <w:t>1</w:t>
      </w:r>
      <w:r w:rsidRPr="00C26EE9">
        <w:rPr>
          <w:rStyle w:val="IDKindeksdolnyikursywa"/>
        </w:rPr>
        <w:t>i</w:t>
      </w:r>
      <w:r w:rsidRPr="00C26EE9">
        <w:rPr>
          <w:rStyle w:val="Kkursywa"/>
        </w:rPr>
        <w:tab/>
      </w:r>
      <w:r w:rsidRPr="004F5B12">
        <w:t xml:space="preserve">‒ </w:t>
      </w:r>
      <w:r w:rsidRPr="001E2D7E">
        <w:t xml:space="preserve">oznacza liczbę studentów </w:t>
      </w:r>
      <w:r w:rsidR="00B328AA">
        <w:t xml:space="preserve">(z wyłączeniem cudzoziemców) </w:t>
      </w:r>
      <w:r w:rsidR="004C3D56" w:rsidRPr="00A16763">
        <w:rPr>
          <w:i/>
          <w:iCs/>
        </w:rPr>
        <w:t>i</w:t>
      </w:r>
      <w:r w:rsidR="008C54BE">
        <w:rPr>
          <w:i/>
          <w:iCs/>
        </w:rPr>
        <w:t xml:space="preserve"> </w:t>
      </w:r>
      <w:r w:rsidR="008D0CF2" w:rsidRPr="008D0CF2">
        <w:t>–</w:t>
      </w:r>
      <w:r w:rsidR="008C54BE">
        <w:t xml:space="preserve"> </w:t>
      </w:r>
      <w:r w:rsidR="004C3D56">
        <w:t xml:space="preserve">tej uczelni zakwaterowanych w domach studenta </w:t>
      </w:r>
      <w:r w:rsidR="00B328AA" w:rsidRPr="00A16763">
        <w:rPr>
          <w:i/>
          <w:iCs/>
        </w:rPr>
        <w:t>i</w:t>
      </w:r>
      <w:r w:rsidR="008C54BE">
        <w:rPr>
          <w:i/>
          <w:iCs/>
        </w:rPr>
        <w:t xml:space="preserve"> </w:t>
      </w:r>
      <w:r w:rsidR="008D0CF2" w:rsidRPr="008D0CF2">
        <w:t>–</w:t>
      </w:r>
      <w:r w:rsidR="008C54BE">
        <w:t xml:space="preserve"> </w:t>
      </w:r>
      <w:r w:rsidR="00B328AA">
        <w:t xml:space="preserve">tej </w:t>
      </w:r>
      <w:r w:rsidR="004C3D56">
        <w:t xml:space="preserve">uczelni w </w:t>
      </w:r>
      <w:r w:rsidR="004C3D56" w:rsidRPr="004C3D56">
        <w:t>pok</w:t>
      </w:r>
      <w:r w:rsidR="004C3D56">
        <w:t>oju</w:t>
      </w:r>
      <w:r w:rsidR="004C3D56" w:rsidRPr="004C3D56">
        <w:t xml:space="preserve"> jednoosobowy</w:t>
      </w:r>
      <w:r w:rsidR="004C3D56">
        <w:t>m</w:t>
      </w:r>
      <w:r w:rsidR="004C3D56" w:rsidRPr="004C3D56">
        <w:t xml:space="preserve"> z łazienką </w:t>
      </w:r>
      <w:r w:rsidR="00B328AA" w:rsidRPr="004C3D56">
        <w:t>oraz miejscem na przygotowanie posiłku posiadającym co</w:t>
      </w:r>
      <w:r w:rsidR="00B328AA">
        <w:t xml:space="preserve"> </w:t>
      </w:r>
      <w:r w:rsidR="00B328AA" w:rsidRPr="004C3D56">
        <w:t xml:space="preserve">najmniej lodówkę </w:t>
      </w:r>
      <w:r w:rsidR="004C3D56" w:rsidRPr="004C3D56">
        <w:t>przynależn</w:t>
      </w:r>
      <w:r w:rsidR="00B328AA">
        <w:t>ymi</w:t>
      </w:r>
      <w:r w:rsidR="004C3D56" w:rsidRPr="004C3D56">
        <w:t xml:space="preserve"> wyłącznie do tego pokoju</w:t>
      </w:r>
      <w:r w:rsidRPr="001E2D7E">
        <w:t>, według stanu na dzień 31 grudnia roku poprzedzającego rok przyznania subwencji</w:t>
      </w:r>
      <w:r w:rsidRPr="004F5B12">
        <w:t>,</w:t>
      </w:r>
      <w:r w:rsidR="008D0CF2">
        <w:t xml:space="preserve"> </w:t>
      </w:r>
      <w:r w:rsidR="00E34C07">
        <w:t xml:space="preserve">  </w:t>
      </w:r>
    </w:p>
    <w:p w14:paraId="1F0998AD" w14:textId="4A150F33" w:rsidR="001E2D7E" w:rsidRPr="004F5B12" w:rsidRDefault="001E2D7E" w:rsidP="001E2D7E">
      <w:pPr>
        <w:pStyle w:val="TIRtiret"/>
        <w:ind w:left="1418" w:hanging="851"/>
      </w:pPr>
      <w:r w:rsidRPr="00C26EE9">
        <w:rPr>
          <w:rStyle w:val="Kkursywa"/>
        </w:rPr>
        <w:t>Ls</w:t>
      </w:r>
      <w:r w:rsidR="00B328AA">
        <w:rPr>
          <w:rStyle w:val="Kkursywa"/>
        </w:rPr>
        <w:t>2</w:t>
      </w:r>
      <w:r w:rsidRPr="00C26EE9">
        <w:rPr>
          <w:rStyle w:val="IDKindeksdolnyikursywa"/>
        </w:rPr>
        <w:t>i</w:t>
      </w:r>
      <w:r w:rsidRPr="00C26EE9">
        <w:rPr>
          <w:rStyle w:val="Kkursywa"/>
        </w:rPr>
        <w:tab/>
      </w:r>
      <w:r w:rsidRPr="004F5B12">
        <w:t xml:space="preserve">‒ </w:t>
      </w:r>
      <w:r w:rsidR="00B328AA" w:rsidRPr="001E2D7E">
        <w:t xml:space="preserve">oznacza liczbę studentów </w:t>
      </w:r>
      <w:r w:rsidR="00B328AA">
        <w:t xml:space="preserve">(z wyłączeniem cudzoziemców) </w:t>
      </w:r>
      <w:r w:rsidR="00B328AA" w:rsidRPr="00A16763">
        <w:rPr>
          <w:i/>
          <w:iCs/>
        </w:rPr>
        <w:t>i</w:t>
      </w:r>
      <w:r w:rsidR="008C54BE">
        <w:rPr>
          <w:i/>
          <w:iCs/>
        </w:rPr>
        <w:t xml:space="preserve"> </w:t>
      </w:r>
      <w:r w:rsidR="00E34C07" w:rsidRPr="00E34C07">
        <w:t>–</w:t>
      </w:r>
      <w:r w:rsidR="008C54BE">
        <w:t xml:space="preserve"> </w:t>
      </w:r>
      <w:r w:rsidR="00B328AA">
        <w:t xml:space="preserve">tej uczelni zakwaterowanych w domach studenta </w:t>
      </w:r>
      <w:r w:rsidR="00B328AA" w:rsidRPr="00A16763">
        <w:rPr>
          <w:i/>
          <w:iCs/>
        </w:rPr>
        <w:t>i</w:t>
      </w:r>
      <w:r w:rsidR="008C54BE">
        <w:rPr>
          <w:i/>
          <w:iCs/>
        </w:rPr>
        <w:t xml:space="preserve"> </w:t>
      </w:r>
      <w:r w:rsidR="00E34C07" w:rsidRPr="00E34C07">
        <w:t>–</w:t>
      </w:r>
      <w:r w:rsidR="008C54BE">
        <w:t xml:space="preserve"> </w:t>
      </w:r>
      <w:r w:rsidR="00B328AA">
        <w:t xml:space="preserve">tej uczelni w </w:t>
      </w:r>
      <w:r w:rsidR="00B328AA" w:rsidRPr="004C3D56">
        <w:t>pok</w:t>
      </w:r>
      <w:r w:rsidR="00B328AA">
        <w:t>oju</w:t>
      </w:r>
      <w:r w:rsidR="00B328AA" w:rsidRPr="004C3D56">
        <w:t xml:space="preserve"> </w:t>
      </w:r>
      <w:r w:rsidR="00B328AA">
        <w:t>dwu</w:t>
      </w:r>
      <w:r w:rsidR="00B328AA" w:rsidRPr="004C3D56">
        <w:t>osobowy</w:t>
      </w:r>
      <w:r w:rsidR="00B328AA">
        <w:t>m</w:t>
      </w:r>
      <w:r w:rsidR="00B328AA" w:rsidRPr="004C3D56">
        <w:t xml:space="preserve"> z łazienką oraz miejscem na przygotowanie posiłku posiadającym co</w:t>
      </w:r>
      <w:r w:rsidR="00B328AA">
        <w:t xml:space="preserve"> </w:t>
      </w:r>
      <w:r w:rsidR="00B328AA" w:rsidRPr="004C3D56">
        <w:t>najmniej lodówkę przynależn</w:t>
      </w:r>
      <w:r w:rsidR="00B328AA">
        <w:t>ymi</w:t>
      </w:r>
      <w:r w:rsidR="00B328AA" w:rsidRPr="004C3D56">
        <w:t xml:space="preserve"> wyłącznie do tego pokoju</w:t>
      </w:r>
      <w:r w:rsidR="00B328AA" w:rsidRPr="001E2D7E">
        <w:t>, według stanu na dzień 31 grudnia roku poprzedzającego rok przyznania subwencji</w:t>
      </w:r>
      <w:r w:rsidR="00B328AA" w:rsidRPr="004F5B12">
        <w:t>,</w:t>
      </w:r>
    </w:p>
    <w:p w14:paraId="4E32ED3A" w14:textId="08EAC820" w:rsidR="001E2D7E" w:rsidRPr="004F5B12" w:rsidRDefault="001E2D7E" w:rsidP="001E2D7E">
      <w:pPr>
        <w:pStyle w:val="TIRtiret"/>
        <w:ind w:left="1418" w:hanging="851"/>
      </w:pPr>
      <w:r w:rsidRPr="001A1D63">
        <w:rPr>
          <w:rStyle w:val="Kkursywa"/>
        </w:rPr>
        <w:t>Lsp</w:t>
      </w:r>
      <w:r w:rsidRPr="001A1D63">
        <w:rPr>
          <w:rStyle w:val="IDKindeksdolnyikursywa"/>
        </w:rPr>
        <w:t>i</w:t>
      </w:r>
      <w:r w:rsidRPr="001A1D63">
        <w:rPr>
          <w:rStyle w:val="IDKindeksdolnyikursywa"/>
        </w:rPr>
        <w:tab/>
      </w:r>
      <w:r w:rsidRPr="004F5B12">
        <w:t xml:space="preserve">‒ </w:t>
      </w:r>
      <w:r w:rsidR="00B328AA" w:rsidRPr="001E2D7E">
        <w:t xml:space="preserve">oznacza liczbę studentów </w:t>
      </w:r>
      <w:r w:rsidR="00B328AA">
        <w:t xml:space="preserve">(z wyłączeniem cudzoziemców) </w:t>
      </w:r>
      <w:r w:rsidR="00B328AA" w:rsidRPr="00A16763">
        <w:rPr>
          <w:i/>
          <w:iCs/>
        </w:rPr>
        <w:t>i</w:t>
      </w:r>
      <w:r w:rsidR="008C54BE">
        <w:rPr>
          <w:i/>
          <w:iCs/>
        </w:rPr>
        <w:t xml:space="preserve"> </w:t>
      </w:r>
      <w:r w:rsidR="00FB6270" w:rsidRPr="00FB6270">
        <w:t>–</w:t>
      </w:r>
      <w:r w:rsidR="008C54BE">
        <w:t xml:space="preserve"> </w:t>
      </w:r>
      <w:r w:rsidR="00B328AA">
        <w:t xml:space="preserve">tej uczelni zakwaterowanych w domach studenta </w:t>
      </w:r>
      <w:r w:rsidR="00B328AA" w:rsidRPr="00A16763">
        <w:rPr>
          <w:i/>
          <w:iCs/>
        </w:rPr>
        <w:t>i</w:t>
      </w:r>
      <w:r w:rsidR="008B103C" w:rsidRPr="008B103C">
        <w:t>–</w:t>
      </w:r>
      <w:r w:rsidR="00B328AA">
        <w:t xml:space="preserve">tej uczelni, </w:t>
      </w:r>
      <w:r w:rsidR="00B328AA" w:rsidRPr="00B328AA">
        <w:t xml:space="preserve">z wyłączeniem osób </w:t>
      </w:r>
      <w:r w:rsidR="00B328AA" w:rsidRPr="00B328AA">
        <w:lastRenderedPageBreak/>
        <w:t xml:space="preserve">uwzględnionych w </w:t>
      </w:r>
      <w:r w:rsidR="00B328AA" w:rsidRPr="00C26EE9">
        <w:rPr>
          <w:rStyle w:val="Kkursywa"/>
        </w:rPr>
        <w:t>Ls</w:t>
      </w:r>
      <w:r w:rsidR="00B328AA">
        <w:rPr>
          <w:rStyle w:val="Kkursywa"/>
        </w:rPr>
        <w:t>1</w:t>
      </w:r>
      <w:r w:rsidR="00B328AA" w:rsidRPr="00C26EE9">
        <w:rPr>
          <w:rStyle w:val="IDKindeksdolnyikursywa"/>
        </w:rPr>
        <w:t>i</w:t>
      </w:r>
      <w:r w:rsidR="00B328AA">
        <w:rPr>
          <w:rStyle w:val="IDKindeksdolnyikursywa"/>
        </w:rPr>
        <w:t xml:space="preserve"> </w:t>
      </w:r>
      <w:r w:rsidR="00B328AA" w:rsidRPr="00B328AA">
        <w:rPr>
          <w:iCs/>
        </w:rPr>
        <w:t>oraz</w:t>
      </w:r>
      <w:r w:rsidR="00B328AA">
        <w:rPr>
          <w:rStyle w:val="IDKindeksdolnyikursywa"/>
        </w:rPr>
        <w:t xml:space="preserve"> </w:t>
      </w:r>
      <w:r w:rsidR="00B328AA" w:rsidRPr="00C26EE9">
        <w:rPr>
          <w:rStyle w:val="Kkursywa"/>
        </w:rPr>
        <w:t>Ls</w:t>
      </w:r>
      <w:r w:rsidR="00B328AA">
        <w:rPr>
          <w:rStyle w:val="Kkursywa"/>
        </w:rPr>
        <w:t>1</w:t>
      </w:r>
      <w:r w:rsidR="00B328AA" w:rsidRPr="00C26EE9">
        <w:rPr>
          <w:rStyle w:val="IDKindeksdolnyikursywa"/>
        </w:rPr>
        <w:t>i</w:t>
      </w:r>
      <w:r w:rsidR="00B328AA" w:rsidRPr="00B328AA">
        <w:t>,</w:t>
      </w:r>
      <w:r w:rsidR="00B328AA">
        <w:t xml:space="preserve"> według </w:t>
      </w:r>
      <w:r w:rsidR="00B328AA" w:rsidRPr="001E2D7E">
        <w:t>stanu na dzień 31 grudnia roku poprzedzającego rok przyznania subwencji</w:t>
      </w:r>
      <w:r w:rsidR="00B328AA" w:rsidRPr="004F5B12">
        <w:t>,</w:t>
      </w:r>
      <w:r w:rsidR="008B103C">
        <w:t xml:space="preserve">  </w:t>
      </w:r>
    </w:p>
    <w:p w14:paraId="220B077D" w14:textId="77777777" w:rsidR="001E2D7E" w:rsidRPr="004F5B12" w:rsidRDefault="001E2D7E" w:rsidP="001E2D7E">
      <w:pPr>
        <w:pStyle w:val="TIRtiret"/>
        <w:ind w:hanging="817"/>
      </w:pPr>
      <w:r>
        <w:rPr>
          <w:rStyle w:val="Kkursywa"/>
        </w:rPr>
        <w:t>n</w:t>
      </w:r>
      <w:r>
        <w:rPr>
          <w:rStyle w:val="Kkursywa"/>
        </w:rPr>
        <w:tab/>
      </w:r>
      <w:r w:rsidRPr="004F5B12">
        <w:t>‒</w:t>
      </w:r>
      <w:r>
        <w:t xml:space="preserve"> </w:t>
      </w:r>
      <w:r w:rsidRPr="004F5B12">
        <w:t xml:space="preserve">oznacza liczbę </w:t>
      </w:r>
      <w:r>
        <w:t>uczelni medycznych.</w:t>
      </w:r>
    </w:p>
    <w:p w14:paraId="1D92C02E" w14:textId="77777777" w:rsidR="004F5B12" w:rsidRPr="004F5B12" w:rsidRDefault="004F5B12" w:rsidP="002B1F90">
      <w:pPr>
        <w:pStyle w:val="USTustnpkodeksu"/>
      </w:pPr>
      <w:r w:rsidRPr="004F5B12">
        <w:t>9.</w:t>
      </w:r>
      <w:r>
        <w:t> </w:t>
      </w:r>
      <w:r w:rsidRPr="004F5B12">
        <w:t>Dla poszczególnych parametrów i składników we wzorach, o których mowa</w:t>
      </w:r>
      <w:r w:rsidR="002B1F90">
        <w:t xml:space="preserve"> </w:t>
      </w:r>
      <w:r w:rsidRPr="004F5B12">
        <w:t>w niniejszym załączniku, określa się następujące wartości</w:t>
      </w:r>
      <w:r w:rsidR="00EA2C75">
        <w:t>:</w:t>
      </w:r>
    </w:p>
    <w:p w14:paraId="21E373FD" w14:textId="05926CF6" w:rsidR="00D829F2" w:rsidRPr="00717229" w:rsidRDefault="00312F25" w:rsidP="00312F25">
      <w:pPr>
        <w:pStyle w:val="LITlitera"/>
      </w:pPr>
      <w:r>
        <w:t>a)</w:t>
      </w:r>
      <w:r>
        <w:tab/>
      </w:r>
      <w:r w:rsidR="00D829F2" w:rsidRPr="00E87807">
        <w:t>0,</w:t>
      </w:r>
      <w:r w:rsidR="00B328AA" w:rsidRPr="00E87807">
        <w:t>7</w:t>
      </w:r>
      <w:r w:rsidR="00D829F2" w:rsidRPr="00E87807">
        <w:t>0 ‒</w:t>
      </w:r>
      <w:r w:rsidR="00D829F2">
        <w:t xml:space="preserve"> dla stałej przeniesienia</w:t>
      </w:r>
      <w:r w:rsidR="00D829F2" w:rsidRPr="00717229">
        <w:t xml:space="preserve"> </w:t>
      </w:r>
      <w:r w:rsidR="00D829F2" w:rsidRPr="003C0EEA">
        <w:rPr>
          <w:rStyle w:val="Kkursywa"/>
        </w:rPr>
        <w:t>C</w:t>
      </w:r>
      <w:r w:rsidR="00D829F2" w:rsidRPr="00717229">
        <w:t>,</w:t>
      </w:r>
    </w:p>
    <w:p w14:paraId="2DE56B22" w14:textId="01F60C46" w:rsidR="00D829F2" w:rsidRPr="00717229" w:rsidRDefault="00312F25" w:rsidP="00312F25">
      <w:pPr>
        <w:pStyle w:val="LITlitera"/>
      </w:pPr>
      <w:r>
        <w:t>b)</w:t>
      </w:r>
      <w:r>
        <w:tab/>
      </w:r>
      <w:r w:rsidR="00D829F2">
        <w:t>0,3</w:t>
      </w:r>
      <w:r w:rsidR="00B328AA">
        <w:t>5</w:t>
      </w:r>
      <w:r w:rsidR="00D829F2">
        <w:t xml:space="preserve"> </w:t>
      </w:r>
      <w:r w:rsidR="00D829F2" w:rsidRPr="00717229">
        <w:t xml:space="preserve">– dla składnika studenckiego </w:t>
      </w:r>
      <w:r w:rsidR="00D829F2" w:rsidRPr="003C0EEA">
        <w:rPr>
          <w:rStyle w:val="Kkursywa"/>
        </w:rPr>
        <w:t>Ws</w:t>
      </w:r>
      <w:r w:rsidR="00D829F2" w:rsidRPr="00717229">
        <w:t>,</w:t>
      </w:r>
    </w:p>
    <w:p w14:paraId="554BAFFF" w14:textId="4DD18382" w:rsidR="00D829F2" w:rsidRPr="00B328AA" w:rsidRDefault="00312F25" w:rsidP="00312F25">
      <w:pPr>
        <w:pStyle w:val="LITlitera"/>
      </w:pPr>
      <w:r>
        <w:t>c)</w:t>
      </w:r>
      <w:r>
        <w:tab/>
      </w:r>
      <w:r w:rsidR="00D829F2">
        <w:t>7</w:t>
      </w:r>
      <w:r w:rsidR="00B328AA">
        <w:t>,5</w:t>
      </w:r>
      <w:r w:rsidR="00D829F2">
        <w:t xml:space="preserve"> </w:t>
      </w:r>
      <w:r w:rsidR="00D829F2" w:rsidRPr="00717229">
        <w:t>–</w:t>
      </w:r>
      <w:r w:rsidR="00D829F2" w:rsidRPr="005F3FE4">
        <w:t xml:space="preserve"> </w:t>
      </w:r>
      <w:r w:rsidR="00D829F2" w:rsidRPr="00717229">
        <w:t xml:space="preserve">dla </w:t>
      </w:r>
      <w:r w:rsidR="00D829F2" w:rsidRPr="00B328AA">
        <w:t xml:space="preserve">parametru </w:t>
      </w:r>
      <w:r w:rsidR="00B328AA" w:rsidRPr="00B328AA">
        <w:t>maksymalnej</w:t>
      </w:r>
      <w:r w:rsidR="00D829F2" w:rsidRPr="00B328AA">
        <w:t xml:space="preserve"> liczby studentów, przypadających na nauczyciela akademickiego </w:t>
      </w:r>
      <w:r w:rsidR="00D829F2" w:rsidRPr="00B328AA">
        <w:rPr>
          <w:rStyle w:val="Kkursywa"/>
        </w:rPr>
        <w:t>M</w:t>
      </w:r>
      <w:r w:rsidR="00D829F2" w:rsidRPr="00B328AA">
        <w:t>,</w:t>
      </w:r>
      <w:r w:rsidR="00B328AA" w:rsidRPr="00B328AA">
        <w:t xml:space="preserve"> </w:t>
      </w:r>
    </w:p>
    <w:p w14:paraId="664F7FFB" w14:textId="258D0080" w:rsidR="00B328AA" w:rsidRPr="00717229" w:rsidRDefault="00B328AA" w:rsidP="00312F25">
      <w:pPr>
        <w:pStyle w:val="LITlitera"/>
      </w:pPr>
      <w:r w:rsidRPr="00B328AA">
        <w:t>d)</w:t>
      </w:r>
      <w:r w:rsidRPr="00B328AA">
        <w:tab/>
        <w:t>5,0 – dla parametru minimalnej liczby studentów, przypadających na nauczyciela akademickiego L</w:t>
      </w:r>
    </w:p>
    <w:p w14:paraId="53ABAFC3" w14:textId="0A45C0C2" w:rsidR="00D829F2" w:rsidRPr="00717229" w:rsidRDefault="00B328AA" w:rsidP="00312F25">
      <w:pPr>
        <w:pStyle w:val="LITlitera"/>
      </w:pPr>
      <w:r>
        <w:t>e</w:t>
      </w:r>
      <w:r w:rsidR="00312F25">
        <w:t>)</w:t>
      </w:r>
      <w:r w:rsidR="00312F25">
        <w:tab/>
      </w:r>
      <w:r w:rsidR="00D829F2">
        <w:t>0,20</w:t>
      </w:r>
      <w:r w:rsidR="00D829F2" w:rsidRPr="00717229">
        <w:t xml:space="preserve"> – dla składnika kadrowego </w:t>
      </w:r>
      <w:r w:rsidR="00D829F2" w:rsidRPr="003C0EEA">
        <w:rPr>
          <w:rStyle w:val="Kkursywa"/>
        </w:rPr>
        <w:t>Wk</w:t>
      </w:r>
      <w:r w:rsidR="00D829F2" w:rsidRPr="00717229">
        <w:t>,</w:t>
      </w:r>
    </w:p>
    <w:p w14:paraId="3E6ACFBB" w14:textId="18D9D161" w:rsidR="00D829F2" w:rsidRPr="00717229" w:rsidRDefault="00B328AA" w:rsidP="00312F25">
      <w:pPr>
        <w:pStyle w:val="LITlitera"/>
      </w:pPr>
      <w:r>
        <w:t>f</w:t>
      </w:r>
      <w:r w:rsidR="00312F25">
        <w:t>)</w:t>
      </w:r>
      <w:r w:rsidR="00312F25">
        <w:tab/>
      </w:r>
      <w:r w:rsidR="00312F25">
        <w:tab/>
      </w:r>
      <w:r w:rsidR="00D829F2" w:rsidRPr="00717229">
        <w:t>0,</w:t>
      </w:r>
      <w:r w:rsidR="00D829F2">
        <w:t xml:space="preserve">20 </w:t>
      </w:r>
      <w:r w:rsidR="00D829F2" w:rsidRPr="00717229">
        <w:t xml:space="preserve">‒ dla składnika badawczego </w:t>
      </w:r>
      <w:r w:rsidR="00D829F2" w:rsidRPr="003C0EEA">
        <w:rPr>
          <w:rStyle w:val="Kkursywa"/>
        </w:rPr>
        <w:t>Wb</w:t>
      </w:r>
      <w:r w:rsidR="00D829F2" w:rsidRPr="00717229">
        <w:t>,</w:t>
      </w:r>
    </w:p>
    <w:p w14:paraId="22B01E50" w14:textId="77777777" w:rsidR="00D829F2" w:rsidRPr="00717229" w:rsidRDefault="00312F25" w:rsidP="00312F25">
      <w:pPr>
        <w:pStyle w:val="LITlitera"/>
      </w:pPr>
      <w:r>
        <w:t>g)</w:t>
      </w:r>
      <w:r>
        <w:tab/>
      </w:r>
      <w:r w:rsidR="00D829F2">
        <w:t>0,10</w:t>
      </w:r>
      <w:r w:rsidR="00D829F2" w:rsidRPr="00717229">
        <w:t xml:space="preserve"> ‒ dla składnika doktoranckiego </w:t>
      </w:r>
      <w:r w:rsidR="00D829F2" w:rsidRPr="003C0EEA">
        <w:rPr>
          <w:rStyle w:val="Kkursywa"/>
        </w:rPr>
        <w:t>Wd</w:t>
      </w:r>
      <w:r w:rsidR="00D829F2" w:rsidRPr="00717229">
        <w:t>,</w:t>
      </w:r>
    </w:p>
    <w:p w14:paraId="46052B7F" w14:textId="0AEB83A7" w:rsidR="00D829F2" w:rsidRDefault="00312F25" w:rsidP="00312F25">
      <w:pPr>
        <w:pStyle w:val="LITlitera"/>
      </w:pPr>
      <w:r>
        <w:t>h)</w:t>
      </w:r>
      <w:r>
        <w:tab/>
      </w:r>
      <w:r w:rsidR="00D829F2">
        <w:t xml:space="preserve">0,05 </w:t>
      </w:r>
      <w:r w:rsidR="00D829F2" w:rsidRPr="00717229">
        <w:t xml:space="preserve">‒ dla składnika projektowego </w:t>
      </w:r>
      <w:r w:rsidR="00D829F2" w:rsidRPr="003C0EEA">
        <w:rPr>
          <w:rStyle w:val="Kkursywa"/>
        </w:rPr>
        <w:t>Wp</w:t>
      </w:r>
      <w:r w:rsidR="00B328AA">
        <w:t>,</w:t>
      </w:r>
    </w:p>
    <w:p w14:paraId="328BC1EC" w14:textId="797C6391" w:rsidR="00B328AA" w:rsidRDefault="00B328AA" w:rsidP="00B328AA">
      <w:pPr>
        <w:pStyle w:val="LITlitera"/>
      </w:pPr>
      <w:r>
        <w:t>i)</w:t>
      </w:r>
      <w:r>
        <w:tab/>
        <w:t xml:space="preserve">0,05 </w:t>
      </w:r>
      <w:r w:rsidRPr="00717229">
        <w:t xml:space="preserve">‒ dla składnika </w:t>
      </w:r>
      <w:r>
        <w:t>klinicznego</w:t>
      </w:r>
      <w:r w:rsidRPr="00717229">
        <w:t xml:space="preserve"> </w:t>
      </w:r>
      <w:r w:rsidRPr="003C0EEA">
        <w:rPr>
          <w:rStyle w:val="Kkursywa"/>
        </w:rPr>
        <w:t>W</w:t>
      </w:r>
      <w:r w:rsidR="00B55B06">
        <w:rPr>
          <w:rStyle w:val="Kkursywa"/>
        </w:rPr>
        <w:t>kl</w:t>
      </w:r>
      <w:r>
        <w:t>,</w:t>
      </w:r>
    </w:p>
    <w:p w14:paraId="2DAE4C63" w14:textId="7BE2E6D9" w:rsidR="00B328AA" w:rsidRDefault="00B328AA" w:rsidP="00B328AA">
      <w:pPr>
        <w:pStyle w:val="LITlitera"/>
      </w:pPr>
      <w:r>
        <w:t>j)</w:t>
      </w:r>
      <w:r>
        <w:tab/>
        <w:t xml:space="preserve">0,05 </w:t>
      </w:r>
      <w:r w:rsidRPr="00717229">
        <w:t xml:space="preserve">‒ dla składnika </w:t>
      </w:r>
      <w:r>
        <w:t>domów studenckich</w:t>
      </w:r>
      <w:r w:rsidRPr="00717229">
        <w:t xml:space="preserve"> </w:t>
      </w:r>
      <w:r w:rsidRPr="003C0EEA">
        <w:rPr>
          <w:rStyle w:val="Kkursywa"/>
        </w:rPr>
        <w:t>W</w:t>
      </w:r>
      <w:r w:rsidR="00B55B06">
        <w:rPr>
          <w:rStyle w:val="Kkursywa"/>
        </w:rPr>
        <w:t>a</w:t>
      </w:r>
      <w:r w:rsidR="00E26920">
        <w:t>.</w:t>
      </w:r>
    </w:p>
    <w:p w14:paraId="4048F285" w14:textId="77777777" w:rsidR="00B328AA" w:rsidRPr="00717229" w:rsidRDefault="00B328AA" w:rsidP="00312F25">
      <w:pPr>
        <w:pStyle w:val="LITlitera"/>
      </w:pPr>
    </w:p>
    <w:sectPr w:rsidR="00B328AA" w:rsidRPr="00717229" w:rsidSect="00F50D56">
      <w:headerReference w:type="default" r:id="rId9"/>
      <w:footnotePr>
        <w:numRestart w:val="eachSect"/>
      </w:footnotePr>
      <w:pgSz w:w="11906" w:h="16838"/>
      <w:pgMar w:top="720" w:right="1274" w:bottom="72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220A" w14:textId="77777777" w:rsidR="0050303E" w:rsidRDefault="0050303E">
      <w:r>
        <w:separator/>
      </w:r>
    </w:p>
  </w:endnote>
  <w:endnote w:type="continuationSeparator" w:id="0">
    <w:p w14:paraId="35320E3B" w14:textId="77777777" w:rsidR="0050303E" w:rsidRDefault="0050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97B7" w14:textId="77777777" w:rsidR="0050303E" w:rsidRDefault="0050303E">
      <w:r>
        <w:separator/>
      </w:r>
    </w:p>
  </w:footnote>
  <w:footnote w:type="continuationSeparator" w:id="0">
    <w:p w14:paraId="34DA6428" w14:textId="77777777" w:rsidR="0050303E" w:rsidRDefault="0050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DF6A" w14:textId="77777777" w:rsidR="007E4168" w:rsidRPr="00B371CC" w:rsidRDefault="007E416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0119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3D5"/>
    <w:multiLevelType w:val="hybridMultilevel"/>
    <w:tmpl w:val="77206070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E760ECA"/>
    <w:multiLevelType w:val="hybridMultilevel"/>
    <w:tmpl w:val="2ABCE512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30450E24"/>
    <w:multiLevelType w:val="hybridMultilevel"/>
    <w:tmpl w:val="2ABCE51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2326B2"/>
    <w:multiLevelType w:val="hybridMultilevel"/>
    <w:tmpl w:val="766EC8E6"/>
    <w:lvl w:ilvl="0" w:tplc="04150017">
      <w:start w:val="1"/>
      <w:numFmt w:val="lowerLetter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59432EB7"/>
    <w:multiLevelType w:val="hybridMultilevel"/>
    <w:tmpl w:val="A5BE0F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787E05"/>
    <w:multiLevelType w:val="multilevel"/>
    <w:tmpl w:val="B684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15F1B90"/>
    <w:multiLevelType w:val="hybridMultilevel"/>
    <w:tmpl w:val="51FCA482"/>
    <w:lvl w:ilvl="0" w:tplc="44A4C93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925113444">
    <w:abstractNumId w:val="6"/>
  </w:num>
  <w:num w:numId="2" w16cid:durableId="1316379415">
    <w:abstractNumId w:val="1"/>
  </w:num>
  <w:num w:numId="3" w16cid:durableId="691733199">
    <w:abstractNumId w:val="3"/>
  </w:num>
  <w:num w:numId="4" w16cid:durableId="1088191795">
    <w:abstractNumId w:val="0"/>
  </w:num>
  <w:num w:numId="5" w16cid:durableId="1562714571">
    <w:abstractNumId w:val="5"/>
  </w:num>
  <w:num w:numId="6" w16cid:durableId="990594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0617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83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8389835">
    <w:abstractNumId w:val="4"/>
  </w:num>
  <w:num w:numId="10" w16cid:durableId="101207610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29"/>
    <w:rsid w:val="000012DA"/>
    <w:rsid w:val="0000246E"/>
    <w:rsid w:val="00003862"/>
    <w:rsid w:val="00004C7F"/>
    <w:rsid w:val="00004CEC"/>
    <w:rsid w:val="00010ACF"/>
    <w:rsid w:val="000127FE"/>
    <w:rsid w:val="00012A35"/>
    <w:rsid w:val="000134F7"/>
    <w:rsid w:val="0001535E"/>
    <w:rsid w:val="00016099"/>
    <w:rsid w:val="0001720B"/>
    <w:rsid w:val="00017DC2"/>
    <w:rsid w:val="00021522"/>
    <w:rsid w:val="00022E38"/>
    <w:rsid w:val="00023471"/>
    <w:rsid w:val="0002376A"/>
    <w:rsid w:val="00023F13"/>
    <w:rsid w:val="000255EB"/>
    <w:rsid w:val="000273AC"/>
    <w:rsid w:val="00030085"/>
    <w:rsid w:val="00030634"/>
    <w:rsid w:val="000319C1"/>
    <w:rsid w:val="00031A8B"/>
    <w:rsid w:val="00031BCA"/>
    <w:rsid w:val="000330FA"/>
    <w:rsid w:val="0003362F"/>
    <w:rsid w:val="000358E4"/>
    <w:rsid w:val="0003594B"/>
    <w:rsid w:val="00036B63"/>
    <w:rsid w:val="000379B5"/>
    <w:rsid w:val="00037E1A"/>
    <w:rsid w:val="00043495"/>
    <w:rsid w:val="000451F3"/>
    <w:rsid w:val="00046A75"/>
    <w:rsid w:val="00047312"/>
    <w:rsid w:val="00047E15"/>
    <w:rsid w:val="000508BD"/>
    <w:rsid w:val="00050D49"/>
    <w:rsid w:val="000517AB"/>
    <w:rsid w:val="00052108"/>
    <w:rsid w:val="00052971"/>
    <w:rsid w:val="0005339C"/>
    <w:rsid w:val="0005571B"/>
    <w:rsid w:val="00056CAF"/>
    <w:rsid w:val="00057139"/>
    <w:rsid w:val="00057AB3"/>
    <w:rsid w:val="00060076"/>
    <w:rsid w:val="00060432"/>
    <w:rsid w:val="00060D87"/>
    <w:rsid w:val="000615A5"/>
    <w:rsid w:val="000631D4"/>
    <w:rsid w:val="00063CC2"/>
    <w:rsid w:val="00063DA4"/>
    <w:rsid w:val="00064E4C"/>
    <w:rsid w:val="00066901"/>
    <w:rsid w:val="00067AAC"/>
    <w:rsid w:val="000719E5"/>
    <w:rsid w:val="00071BEE"/>
    <w:rsid w:val="000733C4"/>
    <w:rsid w:val="00073480"/>
    <w:rsid w:val="000736CD"/>
    <w:rsid w:val="0007533B"/>
    <w:rsid w:val="0007545D"/>
    <w:rsid w:val="0007591C"/>
    <w:rsid w:val="000760BF"/>
    <w:rsid w:val="0007613E"/>
    <w:rsid w:val="00076BFC"/>
    <w:rsid w:val="000804FE"/>
    <w:rsid w:val="000814A7"/>
    <w:rsid w:val="00081728"/>
    <w:rsid w:val="0008229C"/>
    <w:rsid w:val="0008253E"/>
    <w:rsid w:val="000825A8"/>
    <w:rsid w:val="0008546C"/>
    <w:rsid w:val="0008557B"/>
    <w:rsid w:val="00085CE7"/>
    <w:rsid w:val="00087A12"/>
    <w:rsid w:val="000906EE"/>
    <w:rsid w:val="00090BB8"/>
    <w:rsid w:val="00091087"/>
    <w:rsid w:val="000916AA"/>
    <w:rsid w:val="00091BA2"/>
    <w:rsid w:val="0009220B"/>
    <w:rsid w:val="000944EF"/>
    <w:rsid w:val="0009704D"/>
    <w:rsid w:val="0009732D"/>
    <w:rsid w:val="000973F0"/>
    <w:rsid w:val="00097C93"/>
    <w:rsid w:val="000A1296"/>
    <w:rsid w:val="000A12B1"/>
    <w:rsid w:val="000A130D"/>
    <w:rsid w:val="000A1AD0"/>
    <w:rsid w:val="000A1C27"/>
    <w:rsid w:val="000A1DAD"/>
    <w:rsid w:val="000A2649"/>
    <w:rsid w:val="000A323B"/>
    <w:rsid w:val="000A4260"/>
    <w:rsid w:val="000A6CF3"/>
    <w:rsid w:val="000A732C"/>
    <w:rsid w:val="000B270B"/>
    <w:rsid w:val="000B298D"/>
    <w:rsid w:val="000B2A84"/>
    <w:rsid w:val="000B5B2D"/>
    <w:rsid w:val="000B5DCE"/>
    <w:rsid w:val="000B70F8"/>
    <w:rsid w:val="000B76D8"/>
    <w:rsid w:val="000C05BA"/>
    <w:rsid w:val="000C0E8F"/>
    <w:rsid w:val="000C20E0"/>
    <w:rsid w:val="000C4BC4"/>
    <w:rsid w:val="000C7785"/>
    <w:rsid w:val="000D0110"/>
    <w:rsid w:val="000D2468"/>
    <w:rsid w:val="000D2CE3"/>
    <w:rsid w:val="000D318A"/>
    <w:rsid w:val="000D6173"/>
    <w:rsid w:val="000D6F83"/>
    <w:rsid w:val="000E25CC"/>
    <w:rsid w:val="000E3694"/>
    <w:rsid w:val="000E38FB"/>
    <w:rsid w:val="000E3E0F"/>
    <w:rsid w:val="000E490F"/>
    <w:rsid w:val="000E6241"/>
    <w:rsid w:val="000F0C31"/>
    <w:rsid w:val="000F1276"/>
    <w:rsid w:val="000F2BE3"/>
    <w:rsid w:val="000F3D0D"/>
    <w:rsid w:val="000F437F"/>
    <w:rsid w:val="000F6236"/>
    <w:rsid w:val="000F6508"/>
    <w:rsid w:val="000F6ED4"/>
    <w:rsid w:val="000F72A0"/>
    <w:rsid w:val="000F74A7"/>
    <w:rsid w:val="000F7A6E"/>
    <w:rsid w:val="0010230F"/>
    <w:rsid w:val="00103729"/>
    <w:rsid w:val="001042BA"/>
    <w:rsid w:val="00106D03"/>
    <w:rsid w:val="00110465"/>
    <w:rsid w:val="00110628"/>
    <w:rsid w:val="0011245A"/>
    <w:rsid w:val="0011493E"/>
    <w:rsid w:val="00115B72"/>
    <w:rsid w:val="0011648A"/>
    <w:rsid w:val="001178AF"/>
    <w:rsid w:val="00120329"/>
    <w:rsid w:val="00120710"/>
    <w:rsid w:val="0012075F"/>
    <w:rsid w:val="001209EC"/>
    <w:rsid w:val="00120A9E"/>
    <w:rsid w:val="001214BC"/>
    <w:rsid w:val="0012398A"/>
    <w:rsid w:val="00125971"/>
    <w:rsid w:val="00125A9C"/>
    <w:rsid w:val="001270A2"/>
    <w:rsid w:val="00127B67"/>
    <w:rsid w:val="00131237"/>
    <w:rsid w:val="00132964"/>
    <w:rsid w:val="001329AC"/>
    <w:rsid w:val="00132F7C"/>
    <w:rsid w:val="001334C1"/>
    <w:rsid w:val="00134CA0"/>
    <w:rsid w:val="00134DE7"/>
    <w:rsid w:val="00136DF6"/>
    <w:rsid w:val="0014026F"/>
    <w:rsid w:val="00142E2E"/>
    <w:rsid w:val="00142EC8"/>
    <w:rsid w:val="001464B3"/>
    <w:rsid w:val="0014781A"/>
    <w:rsid w:val="00147927"/>
    <w:rsid w:val="00147A47"/>
    <w:rsid w:val="00147AA1"/>
    <w:rsid w:val="00151318"/>
    <w:rsid w:val="001520CF"/>
    <w:rsid w:val="0015217F"/>
    <w:rsid w:val="00152B45"/>
    <w:rsid w:val="001556CD"/>
    <w:rsid w:val="0015667C"/>
    <w:rsid w:val="00157110"/>
    <w:rsid w:val="001573E7"/>
    <w:rsid w:val="0015742A"/>
    <w:rsid w:val="00157DA1"/>
    <w:rsid w:val="001613FF"/>
    <w:rsid w:val="00161CB8"/>
    <w:rsid w:val="00163147"/>
    <w:rsid w:val="001631E7"/>
    <w:rsid w:val="00163463"/>
    <w:rsid w:val="00163800"/>
    <w:rsid w:val="001640E7"/>
    <w:rsid w:val="00164C57"/>
    <w:rsid w:val="00164C9D"/>
    <w:rsid w:val="00165BA5"/>
    <w:rsid w:val="00172F7A"/>
    <w:rsid w:val="00173150"/>
    <w:rsid w:val="00173390"/>
    <w:rsid w:val="001736F0"/>
    <w:rsid w:val="00173BB3"/>
    <w:rsid w:val="00173C6A"/>
    <w:rsid w:val="001740D0"/>
    <w:rsid w:val="001749F1"/>
    <w:rsid w:val="00174F2C"/>
    <w:rsid w:val="00175FD0"/>
    <w:rsid w:val="00177A3E"/>
    <w:rsid w:val="00180835"/>
    <w:rsid w:val="00180F2A"/>
    <w:rsid w:val="001833C3"/>
    <w:rsid w:val="00184138"/>
    <w:rsid w:val="00184B91"/>
    <w:rsid w:val="00184D4A"/>
    <w:rsid w:val="001854CE"/>
    <w:rsid w:val="00185A2F"/>
    <w:rsid w:val="00186EC1"/>
    <w:rsid w:val="001874AA"/>
    <w:rsid w:val="0018774E"/>
    <w:rsid w:val="00191E1F"/>
    <w:rsid w:val="0019473B"/>
    <w:rsid w:val="00195151"/>
    <w:rsid w:val="001952B1"/>
    <w:rsid w:val="001960AC"/>
    <w:rsid w:val="00196E39"/>
    <w:rsid w:val="00197365"/>
    <w:rsid w:val="00197649"/>
    <w:rsid w:val="001A01FB"/>
    <w:rsid w:val="001A0216"/>
    <w:rsid w:val="001A10E9"/>
    <w:rsid w:val="001A183D"/>
    <w:rsid w:val="001A1D63"/>
    <w:rsid w:val="001A2B65"/>
    <w:rsid w:val="001A3CD3"/>
    <w:rsid w:val="001A5BEF"/>
    <w:rsid w:val="001A7974"/>
    <w:rsid w:val="001A7F15"/>
    <w:rsid w:val="001B1070"/>
    <w:rsid w:val="001B1B1A"/>
    <w:rsid w:val="001B342E"/>
    <w:rsid w:val="001C0536"/>
    <w:rsid w:val="001C1832"/>
    <w:rsid w:val="001C188C"/>
    <w:rsid w:val="001C2FD0"/>
    <w:rsid w:val="001C5E1E"/>
    <w:rsid w:val="001D1783"/>
    <w:rsid w:val="001D20DB"/>
    <w:rsid w:val="001D53CD"/>
    <w:rsid w:val="001D55A3"/>
    <w:rsid w:val="001D5AF5"/>
    <w:rsid w:val="001D6878"/>
    <w:rsid w:val="001E18B1"/>
    <w:rsid w:val="001E1E73"/>
    <w:rsid w:val="001E1F69"/>
    <w:rsid w:val="001E2D7E"/>
    <w:rsid w:val="001E4091"/>
    <w:rsid w:val="001E4247"/>
    <w:rsid w:val="001E4DD3"/>
    <w:rsid w:val="001E4E0C"/>
    <w:rsid w:val="001E526D"/>
    <w:rsid w:val="001E5655"/>
    <w:rsid w:val="001E6A8D"/>
    <w:rsid w:val="001F0874"/>
    <w:rsid w:val="001F0AFD"/>
    <w:rsid w:val="001F1832"/>
    <w:rsid w:val="001F220F"/>
    <w:rsid w:val="001F25B3"/>
    <w:rsid w:val="001F3E2E"/>
    <w:rsid w:val="001F4140"/>
    <w:rsid w:val="001F6616"/>
    <w:rsid w:val="002016AA"/>
    <w:rsid w:val="00201EF7"/>
    <w:rsid w:val="00202BD4"/>
    <w:rsid w:val="00202E02"/>
    <w:rsid w:val="00204A97"/>
    <w:rsid w:val="002114EF"/>
    <w:rsid w:val="00212E10"/>
    <w:rsid w:val="00214F3D"/>
    <w:rsid w:val="00214FB5"/>
    <w:rsid w:val="00215498"/>
    <w:rsid w:val="002166AD"/>
    <w:rsid w:val="00217634"/>
    <w:rsid w:val="00217871"/>
    <w:rsid w:val="00217E72"/>
    <w:rsid w:val="00221ED8"/>
    <w:rsid w:val="002231EA"/>
    <w:rsid w:val="00223FDF"/>
    <w:rsid w:val="002279C0"/>
    <w:rsid w:val="00227FF0"/>
    <w:rsid w:val="00231153"/>
    <w:rsid w:val="00232098"/>
    <w:rsid w:val="0023727E"/>
    <w:rsid w:val="002403F1"/>
    <w:rsid w:val="00240F18"/>
    <w:rsid w:val="00241582"/>
    <w:rsid w:val="00242081"/>
    <w:rsid w:val="002435A1"/>
    <w:rsid w:val="00243777"/>
    <w:rsid w:val="002441CD"/>
    <w:rsid w:val="0024574E"/>
    <w:rsid w:val="0025001B"/>
    <w:rsid w:val="002501A3"/>
    <w:rsid w:val="0025166C"/>
    <w:rsid w:val="002521BD"/>
    <w:rsid w:val="00252774"/>
    <w:rsid w:val="00252CE4"/>
    <w:rsid w:val="002555D4"/>
    <w:rsid w:val="002564D8"/>
    <w:rsid w:val="002567D0"/>
    <w:rsid w:val="00261A16"/>
    <w:rsid w:val="00261BD0"/>
    <w:rsid w:val="002634B2"/>
    <w:rsid w:val="00263522"/>
    <w:rsid w:val="00264EC6"/>
    <w:rsid w:val="0026514D"/>
    <w:rsid w:val="002668F7"/>
    <w:rsid w:val="00267A4B"/>
    <w:rsid w:val="00270B57"/>
    <w:rsid w:val="00271013"/>
    <w:rsid w:val="00273141"/>
    <w:rsid w:val="00273581"/>
    <w:rsid w:val="00273B67"/>
    <w:rsid w:val="00273FB0"/>
    <w:rsid w:val="00273FE4"/>
    <w:rsid w:val="00274DDA"/>
    <w:rsid w:val="00275C24"/>
    <w:rsid w:val="002765B4"/>
    <w:rsid w:val="00276A94"/>
    <w:rsid w:val="00277800"/>
    <w:rsid w:val="00277B16"/>
    <w:rsid w:val="00282C8D"/>
    <w:rsid w:val="00284888"/>
    <w:rsid w:val="00284A7E"/>
    <w:rsid w:val="0028562E"/>
    <w:rsid w:val="00290153"/>
    <w:rsid w:val="00290270"/>
    <w:rsid w:val="0029405D"/>
    <w:rsid w:val="00294FA6"/>
    <w:rsid w:val="00295429"/>
    <w:rsid w:val="00295A6F"/>
    <w:rsid w:val="002A20C4"/>
    <w:rsid w:val="002A4782"/>
    <w:rsid w:val="002A4B89"/>
    <w:rsid w:val="002A570F"/>
    <w:rsid w:val="002A7292"/>
    <w:rsid w:val="002A7358"/>
    <w:rsid w:val="002A7902"/>
    <w:rsid w:val="002B08F4"/>
    <w:rsid w:val="002B0F6B"/>
    <w:rsid w:val="002B1F90"/>
    <w:rsid w:val="002B2096"/>
    <w:rsid w:val="002B23B8"/>
    <w:rsid w:val="002B42E3"/>
    <w:rsid w:val="002B4429"/>
    <w:rsid w:val="002B4B31"/>
    <w:rsid w:val="002B68A6"/>
    <w:rsid w:val="002B6B82"/>
    <w:rsid w:val="002B7FAF"/>
    <w:rsid w:val="002C11D5"/>
    <w:rsid w:val="002C6535"/>
    <w:rsid w:val="002D0A39"/>
    <w:rsid w:val="002D0C4F"/>
    <w:rsid w:val="002D1364"/>
    <w:rsid w:val="002D4D30"/>
    <w:rsid w:val="002D5000"/>
    <w:rsid w:val="002D598D"/>
    <w:rsid w:val="002D62EE"/>
    <w:rsid w:val="002D7188"/>
    <w:rsid w:val="002E1398"/>
    <w:rsid w:val="002E1DE3"/>
    <w:rsid w:val="002E2AB6"/>
    <w:rsid w:val="002E3F34"/>
    <w:rsid w:val="002E5F79"/>
    <w:rsid w:val="002E64FA"/>
    <w:rsid w:val="002E7270"/>
    <w:rsid w:val="002E7273"/>
    <w:rsid w:val="002F0A00"/>
    <w:rsid w:val="002F0CFA"/>
    <w:rsid w:val="002F3217"/>
    <w:rsid w:val="002F38CF"/>
    <w:rsid w:val="002F3B7F"/>
    <w:rsid w:val="002F669F"/>
    <w:rsid w:val="00301C97"/>
    <w:rsid w:val="00302E2B"/>
    <w:rsid w:val="003041E2"/>
    <w:rsid w:val="00305732"/>
    <w:rsid w:val="00306949"/>
    <w:rsid w:val="00306A33"/>
    <w:rsid w:val="0031004C"/>
    <w:rsid w:val="003105F6"/>
    <w:rsid w:val="00310E56"/>
    <w:rsid w:val="00310FF9"/>
    <w:rsid w:val="00311297"/>
    <w:rsid w:val="003113BE"/>
    <w:rsid w:val="003122CA"/>
    <w:rsid w:val="00312564"/>
    <w:rsid w:val="00312F25"/>
    <w:rsid w:val="003148FD"/>
    <w:rsid w:val="00314F57"/>
    <w:rsid w:val="003154D7"/>
    <w:rsid w:val="00317429"/>
    <w:rsid w:val="00317DAD"/>
    <w:rsid w:val="00320CC5"/>
    <w:rsid w:val="00321080"/>
    <w:rsid w:val="00322D45"/>
    <w:rsid w:val="0032569A"/>
    <w:rsid w:val="00325A1F"/>
    <w:rsid w:val="003268F9"/>
    <w:rsid w:val="003301FC"/>
    <w:rsid w:val="00330956"/>
    <w:rsid w:val="00330BAF"/>
    <w:rsid w:val="00333AA5"/>
    <w:rsid w:val="00333DCF"/>
    <w:rsid w:val="00334985"/>
    <w:rsid w:val="00334B9F"/>
    <w:rsid w:val="00334E3A"/>
    <w:rsid w:val="003361DD"/>
    <w:rsid w:val="00341A6A"/>
    <w:rsid w:val="00344E44"/>
    <w:rsid w:val="00345B9C"/>
    <w:rsid w:val="003513E1"/>
    <w:rsid w:val="00352DAE"/>
    <w:rsid w:val="00353817"/>
    <w:rsid w:val="00353984"/>
    <w:rsid w:val="003542A5"/>
    <w:rsid w:val="00354EB9"/>
    <w:rsid w:val="00356183"/>
    <w:rsid w:val="003602AE"/>
    <w:rsid w:val="00360929"/>
    <w:rsid w:val="00361DDF"/>
    <w:rsid w:val="0036230D"/>
    <w:rsid w:val="00363E81"/>
    <w:rsid w:val="00364548"/>
    <w:rsid w:val="003647D5"/>
    <w:rsid w:val="00367096"/>
    <w:rsid w:val="003674B0"/>
    <w:rsid w:val="003705F4"/>
    <w:rsid w:val="00370D74"/>
    <w:rsid w:val="00370F5F"/>
    <w:rsid w:val="003712E9"/>
    <w:rsid w:val="003770A8"/>
    <w:rsid w:val="00377178"/>
    <w:rsid w:val="0037727C"/>
    <w:rsid w:val="00377939"/>
    <w:rsid w:val="00377E70"/>
    <w:rsid w:val="00377F28"/>
    <w:rsid w:val="00380904"/>
    <w:rsid w:val="0038091F"/>
    <w:rsid w:val="003823EE"/>
    <w:rsid w:val="003827B0"/>
    <w:rsid w:val="00382960"/>
    <w:rsid w:val="00382D39"/>
    <w:rsid w:val="00383263"/>
    <w:rsid w:val="003842CF"/>
    <w:rsid w:val="003846F7"/>
    <w:rsid w:val="00384FBF"/>
    <w:rsid w:val="003851ED"/>
    <w:rsid w:val="00385B39"/>
    <w:rsid w:val="00386785"/>
    <w:rsid w:val="00390E89"/>
    <w:rsid w:val="00391B1A"/>
    <w:rsid w:val="0039303A"/>
    <w:rsid w:val="00394423"/>
    <w:rsid w:val="0039603C"/>
    <w:rsid w:val="00396942"/>
    <w:rsid w:val="00396B49"/>
    <w:rsid w:val="00396E3E"/>
    <w:rsid w:val="003973A6"/>
    <w:rsid w:val="0039744E"/>
    <w:rsid w:val="00397668"/>
    <w:rsid w:val="003A2B68"/>
    <w:rsid w:val="003A306E"/>
    <w:rsid w:val="003A60DC"/>
    <w:rsid w:val="003A6A46"/>
    <w:rsid w:val="003A7A63"/>
    <w:rsid w:val="003B000C"/>
    <w:rsid w:val="003B0BF6"/>
    <w:rsid w:val="003B0F1D"/>
    <w:rsid w:val="003B1895"/>
    <w:rsid w:val="003B1A80"/>
    <w:rsid w:val="003B2782"/>
    <w:rsid w:val="003B4A57"/>
    <w:rsid w:val="003B55A1"/>
    <w:rsid w:val="003C0AD9"/>
    <w:rsid w:val="003C0ED0"/>
    <w:rsid w:val="003C0EEA"/>
    <w:rsid w:val="003C1D49"/>
    <w:rsid w:val="003C35C4"/>
    <w:rsid w:val="003C60B5"/>
    <w:rsid w:val="003D1106"/>
    <w:rsid w:val="003D12C2"/>
    <w:rsid w:val="003D31B9"/>
    <w:rsid w:val="003D35C3"/>
    <w:rsid w:val="003D3867"/>
    <w:rsid w:val="003D5481"/>
    <w:rsid w:val="003D5D68"/>
    <w:rsid w:val="003D70FD"/>
    <w:rsid w:val="003E0D1A"/>
    <w:rsid w:val="003E22D6"/>
    <w:rsid w:val="003E27DB"/>
    <w:rsid w:val="003E2DA3"/>
    <w:rsid w:val="003E4FA9"/>
    <w:rsid w:val="003E7481"/>
    <w:rsid w:val="003E7947"/>
    <w:rsid w:val="003F020D"/>
    <w:rsid w:val="003F03D9"/>
    <w:rsid w:val="003F285F"/>
    <w:rsid w:val="003F2FBE"/>
    <w:rsid w:val="003F318D"/>
    <w:rsid w:val="003F5BA8"/>
    <w:rsid w:val="003F5BAE"/>
    <w:rsid w:val="003F60EF"/>
    <w:rsid w:val="003F6ED7"/>
    <w:rsid w:val="003F746E"/>
    <w:rsid w:val="00400B99"/>
    <w:rsid w:val="004016EC"/>
    <w:rsid w:val="00401C84"/>
    <w:rsid w:val="00402DFA"/>
    <w:rsid w:val="00403210"/>
    <w:rsid w:val="004035BB"/>
    <w:rsid w:val="004035EB"/>
    <w:rsid w:val="004038FB"/>
    <w:rsid w:val="00404622"/>
    <w:rsid w:val="00407332"/>
    <w:rsid w:val="00407828"/>
    <w:rsid w:val="0041001B"/>
    <w:rsid w:val="00410D16"/>
    <w:rsid w:val="00413D8E"/>
    <w:rsid w:val="004140F2"/>
    <w:rsid w:val="004154D0"/>
    <w:rsid w:val="00417B22"/>
    <w:rsid w:val="00421085"/>
    <w:rsid w:val="00424292"/>
    <w:rsid w:val="0042465E"/>
    <w:rsid w:val="00424DF7"/>
    <w:rsid w:val="00426752"/>
    <w:rsid w:val="00430805"/>
    <w:rsid w:val="00430CFE"/>
    <w:rsid w:val="0043215E"/>
    <w:rsid w:val="00432B6D"/>
    <w:rsid w:val="00432B76"/>
    <w:rsid w:val="00433201"/>
    <w:rsid w:val="00434D01"/>
    <w:rsid w:val="00434F70"/>
    <w:rsid w:val="00435D26"/>
    <w:rsid w:val="004369F6"/>
    <w:rsid w:val="00437722"/>
    <w:rsid w:val="00437A1F"/>
    <w:rsid w:val="00440C99"/>
    <w:rsid w:val="0044175C"/>
    <w:rsid w:val="00443FE9"/>
    <w:rsid w:val="00444159"/>
    <w:rsid w:val="0044426E"/>
    <w:rsid w:val="00444315"/>
    <w:rsid w:val="00445BC4"/>
    <w:rsid w:val="00445F4D"/>
    <w:rsid w:val="0044703D"/>
    <w:rsid w:val="004504C0"/>
    <w:rsid w:val="0045099B"/>
    <w:rsid w:val="00454A81"/>
    <w:rsid w:val="004550FB"/>
    <w:rsid w:val="00460652"/>
    <w:rsid w:val="0046111A"/>
    <w:rsid w:val="004612C3"/>
    <w:rsid w:val="00462946"/>
    <w:rsid w:val="00463E92"/>
    <w:rsid w:val="00463F43"/>
    <w:rsid w:val="004646A8"/>
    <w:rsid w:val="00464B94"/>
    <w:rsid w:val="004653A8"/>
    <w:rsid w:val="00465A0B"/>
    <w:rsid w:val="00466201"/>
    <w:rsid w:val="00467CDC"/>
    <w:rsid w:val="0047077C"/>
    <w:rsid w:val="00470A13"/>
    <w:rsid w:val="00470B05"/>
    <w:rsid w:val="00471E04"/>
    <w:rsid w:val="0047207C"/>
    <w:rsid w:val="00472AC4"/>
    <w:rsid w:val="00472CD6"/>
    <w:rsid w:val="00474685"/>
    <w:rsid w:val="00474E3C"/>
    <w:rsid w:val="00475F6D"/>
    <w:rsid w:val="004762EC"/>
    <w:rsid w:val="00476B2E"/>
    <w:rsid w:val="00480A58"/>
    <w:rsid w:val="00482151"/>
    <w:rsid w:val="00483432"/>
    <w:rsid w:val="00483DDA"/>
    <w:rsid w:val="004844FB"/>
    <w:rsid w:val="00485FAD"/>
    <w:rsid w:val="00487AED"/>
    <w:rsid w:val="00490135"/>
    <w:rsid w:val="004904C5"/>
    <w:rsid w:val="00491EDF"/>
    <w:rsid w:val="00492012"/>
    <w:rsid w:val="004929C2"/>
    <w:rsid w:val="00492A3F"/>
    <w:rsid w:val="00493232"/>
    <w:rsid w:val="00494F62"/>
    <w:rsid w:val="00495464"/>
    <w:rsid w:val="00496C3C"/>
    <w:rsid w:val="00497D6E"/>
    <w:rsid w:val="004A1795"/>
    <w:rsid w:val="004A2001"/>
    <w:rsid w:val="004A2AB1"/>
    <w:rsid w:val="004A3590"/>
    <w:rsid w:val="004A6037"/>
    <w:rsid w:val="004A71A4"/>
    <w:rsid w:val="004B00A7"/>
    <w:rsid w:val="004B112E"/>
    <w:rsid w:val="004B25E2"/>
    <w:rsid w:val="004B34D7"/>
    <w:rsid w:val="004B5037"/>
    <w:rsid w:val="004B5274"/>
    <w:rsid w:val="004B5384"/>
    <w:rsid w:val="004B5B2F"/>
    <w:rsid w:val="004B626A"/>
    <w:rsid w:val="004B660E"/>
    <w:rsid w:val="004B7200"/>
    <w:rsid w:val="004B722A"/>
    <w:rsid w:val="004C05BD"/>
    <w:rsid w:val="004C3B06"/>
    <w:rsid w:val="004C3D56"/>
    <w:rsid w:val="004C3F97"/>
    <w:rsid w:val="004C57BB"/>
    <w:rsid w:val="004C7EE7"/>
    <w:rsid w:val="004D2DEE"/>
    <w:rsid w:val="004D2E1F"/>
    <w:rsid w:val="004D38AF"/>
    <w:rsid w:val="004D7FD9"/>
    <w:rsid w:val="004E1324"/>
    <w:rsid w:val="004E19A5"/>
    <w:rsid w:val="004E2C5E"/>
    <w:rsid w:val="004E37E5"/>
    <w:rsid w:val="004E3FDB"/>
    <w:rsid w:val="004E6A16"/>
    <w:rsid w:val="004F0C8C"/>
    <w:rsid w:val="004F0FD0"/>
    <w:rsid w:val="004F1F4A"/>
    <w:rsid w:val="004F296D"/>
    <w:rsid w:val="004F40BA"/>
    <w:rsid w:val="004F508B"/>
    <w:rsid w:val="004F5B12"/>
    <w:rsid w:val="004F695F"/>
    <w:rsid w:val="004F6CA4"/>
    <w:rsid w:val="00500752"/>
    <w:rsid w:val="00500846"/>
    <w:rsid w:val="0050091C"/>
    <w:rsid w:val="00501A50"/>
    <w:rsid w:val="0050222D"/>
    <w:rsid w:val="00502249"/>
    <w:rsid w:val="005028A8"/>
    <w:rsid w:val="00502A4D"/>
    <w:rsid w:val="0050303E"/>
    <w:rsid w:val="00503AF3"/>
    <w:rsid w:val="0050696D"/>
    <w:rsid w:val="0051094B"/>
    <w:rsid w:val="005110D7"/>
    <w:rsid w:val="00511541"/>
    <w:rsid w:val="00511D99"/>
    <w:rsid w:val="00511F9C"/>
    <w:rsid w:val="005123BC"/>
    <w:rsid w:val="005128D3"/>
    <w:rsid w:val="00513358"/>
    <w:rsid w:val="0051374C"/>
    <w:rsid w:val="005147E8"/>
    <w:rsid w:val="005158F2"/>
    <w:rsid w:val="005164B8"/>
    <w:rsid w:val="00517BFF"/>
    <w:rsid w:val="0052050F"/>
    <w:rsid w:val="005251F3"/>
    <w:rsid w:val="00525CEB"/>
    <w:rsid w:val="00526DFC"/>
    <w:rsid w:val="00526F43"/>
    <w:rsid w:val="0052703A"/>
    <w:rsid w:val="00527651"/>
    <w:rsid w:val="00531122"/>
    <w:rsid w:val="005325BB"/>
    <w:rsid w:val="00534A15"/>
    <w:rsid w:val="005363AB"/>
    <w:rsid w:val="0053661C"/>
    <w:rsid w:val="0053760E"/>
    <w:rsid w:val="00537F39"/>
    <w:rsid w:val="005437D3"/>
    <w:rsid w:val="005439B7"/>
    <w:rsid w:val="00544EF4"/>
    <w:rsid w:val="00545E53"/>
    <w:rsid w:val="005477C4"/>
    <w:rsid w:val="005478CB"/>
    <w:rsid w:val="005479D9"/>
    <w:rsid w:val="00550509"/>
    <w:rsid w:val="005562F9"/>
    <w:rsid w:val="005572BD"/>
    <w:rsid w:val="00557A12"/>
    <w:rsid w:val="005603AD"/>
    <w:rsid w:val="00560AC7"/>
    <w:rsid w:val="00560E3C"/>
    <w:rsid w:val="0056110F"/>
    <w:rsid w:val="00561AFB"/>
    <w:rsid w:val="00561FA8"/>
    <w:rsid w:val="0056318F"/>
    <w:rsid w:val="005635ED"/>
    <w:rsid w:val="00565253"/>
    <w:rsid w:val="00570191"/>
    <w:rsid w:val="00570570"/>
    <w:rsid w:val="00572512"/>
    <w:rsid w:val="00573EE6"/>
    <w:rsid w:val="0057547F"/>
    <w:rsid w:val="005754EE"/>
    <w:rsid w:val="00575995"/>
    <w:rsid w:val="0057617E"/>
    <w:rsid w:val="00576497"/>
    <w:rsid w:val="005822AF"/>
    <w:rsid w:val="005835E7"/>
    <w:rsid w:val="0058397F"/>
    <w:rsid w:val="00583BF8"/>
    <w:rsid w:val="005852FD"/>
    <w:rsid w:val="00585F33"/>
    <w:rsid w:val="00586876"/>
    <w:rsid w:val="0059008D"/>
    <w:rsid w:val="0059073F"/>
    <w:rsid w:val="00591124"/>
    <w:rsid w:val="00591659"/>
    <w:rsid w:val="00591F7F"/>
    <w:rsid w:val="0059255A"/>
    <w:rsid w:val="00592D56"/>
    <w:rsid w:val="00594B60"/>
    <w:rsid w:val="00594CE5"/>
    <w:rsid w:val="00595DFA"/>
    <w:rsid w:val="00597024"/>
    <w:rsid w:val="005A0274"/>
    <w:rsid w:val="005A095C"/>
    <w:rsid w:val="005A669D"/>
    <w:rsid w:val="005A75D8"/>
    <w:rsid w:val="005B713E"/>
    <w:rsid w:val="005B7A23"/>
    <w:rsid w:val="005C03B6"/>
    <w:rsid w:val="005C21F3"/>
    <w:rsid w:val="005C2EAF"/>
    <w:rsid w:val="005C348E"/>
    <w:rsid w:val="005C68E1"/>
    <w:rsid w:val="005C6F0E"/>
    <w:rsid w:val="005D0536"/>
    <w:rsid w:val="005D3763"/>
    <w:rsid w:val="005D55E1"/>
    <w:rsid w:val="005D584A"/>
    <w:rsid w:val="005D5E0F"/>
    <w:rsid w:val="005D6447"/>
    <w:rsid w:val="005D69B3"/>
    <w:rsid w:val="005E19F7"/>
    <w:rsid w:val="005E466D"/>
    <w:rsid w:val="005E4F04"/>
    <w:rsid w:val="005E62C2"/>
    <w:rsid w:val="005E6305"/>
    <w:rsid w:val="005E6C71"/>
    <w:rsid w:val="005E6DB0"/>
    <w:rsid w:val="005F0029"/>
    <w:rsid w:val="005F0963"/>
    <w:rsid w:val="005F19F6"/>
    <w:rsid w:val="005F2824"/>
    <w:rsid w:val="005F2EBA"/>
    <w:rsid w:val="005F35ED"/>
    <w:rsid w:val="005F3FE4"/>
    <w:rsid w:val="005F50D1"/>
    <w:rsid w:val="005F7812"/>
    <w:rsid w:val="005F7A88"/>
    <w:rsid w:val="006002DB"/>
    <w:rsid w:val="00603926"/>
    <w:rsid w:val="00603A1A"/>
    <w:rsid w:val="00603F04"/>
    <w:rsid w:val="006046D5"/>
    <w:rsid w:val="00606009"/>
    <w:rsid w:val="00606053"/>
    <w:rsid w:val="006078AC"/>
    <w:rsid w:val="00607A93"/>
    <w:rsid w:val="00607B2F"/>
    <w:rsid w:val="00610C08"/>
    <w:rsid w:val="00611C42"/>
    <w:rsid w:val="00611F74"/>
    <w:rsid w:val="00613070"/>
    <w:rsid w:val="00613453"/>
    <w:rsid w:val="00615772"/>
    <w:rsid w:val="006168A2"/>
    <w:rsid w:val="00617B8E"/>
    <w:rsid w:val="00621256"/>
    <w:rsid w:val="00621FCC"/>
    <w:rsid w:val="00622E4B"/>
    <w:rsid w:val="00623985"/>
    <w:rsid w:val="00624A04"/>
    <w:rsid w:val="00625EBF"/>
    <w:rsid w:val="00630E6B"/>
    <w:rsid w:val="0063296C"/>
    <w:rsid w:val="006333DA"/>
    <w:rsid w:val="00633842"/>
    <w:rsid w:val="00635134"/>
    <w:rsid w:val="006356E2"/>
    <w:rsid w:val="00642A65"/>
    <w:rsid w:val="00645DCE"/>
    <w:rsid w:val="006465AC"/>
    <w:rsid w:val="006465BF"/>
    <w:rsid w:val="00647962"/>
    <w:rsid w:val="006524F7"/>
    <w:rsid w:val="0065395E"/>
    <w:rsid w:val="00653B22"/>
    <w:rsid w:val="00657BF4"/>
    <w:rsid w:val="006603FB"/>
    <w:rsid w:val="006608DF"/>
    <w:rsid w:val="006623AC"/>
    <w:rsid w:val="006642B6"/>
    <w:rsid w:val="006646DB"/>
    <w:rsid w:val="006678AF"/>
    <w:rsid w:val="00667E35"/>
    <w:rsid w:val="006701EF"/>
    <w:rsid w:val="006715A1"/>
    <w:rsid w:val="00673BA5"/>
    <w:rsid w:val="00680058"/>
    <w:rsid w:val="00681F9F"/>
    <w:rsid w:val="006840EA"/>
    <w:rsid w:val="006844E2"/>
    <w:rsid w:val="00685267"/>
    <w:rsid w:val="00686284"/>
    <w:rsid w:val="006872AE"/>
    <w:rsid w:val="00687C26"/>
    <w:rsid w:val="00690082"/>
    <w:rsid w:val="00690252"/>
    <w:rsid w:val="0069398C"/>
    <w:rsid w:val="006946BB"/>
    <w:rsid w:val="00694FDC"/>
    <w:rsid w:val="00695167"/>
    <w:rsid w:val="006962BB"/>
    <w:rsid w:val="006969FA"/>
    <w:rsid w:val="006A1558"/>
    <w:rsid w:val="006A2B99"/>
    <w:rsid w:val="006A2D6C"/>
    <w:rsid w:val="006A35D5"/>
    <w:rsid w:val="006A3C03"/>
    <w:rsid w:val="006A5564"/>
    <w:rsid w:val="006A6B32"/>
    <w:rsid w:val="006A748A"/>
    <w:rsid w:val="006B35DC"/>
    <w:rsid w:val="006B3859"/>
    <w:rsid w:val="006B4E48"/>
    <w:rsid w:val="006B64AD"/>
    <w:rsid w:val="006B7B0C"/>
    <w:rsid w:val="006C0D32"/>
    <w:rsid w:val="006C419E"/>
    <w:rsid w:val="006C4A31"/>
    <w:rsid w:val="006C5AC2"/>
    <w:rsid w:val="006C6AFB"/>
    <w:rsid w:val="006C705A"/>
    <w:rsid w:val="006D033F"/>
    <w:rsid w:val="006D14D4"/>
    <w:rsid w:val="006D20F0"/>
    <w:rsid w:val="006D2735"/>
    <w:rsid w:val="006D45B2"/>
    <w:rsid w:val="006D66E5"/>
    <w:rsid w:val="006D680E"/>
    <w:rsid w:val="006E0EF7"/>
    <w:rsid w:val="006E0FCC"/>
    <w:rsid w:val="006E146E"/>
    <w:rsid w:val="006E1E96"/>
    <w:rsid w:val="006E3C04"/>
    <w:rsid w:val="006E3E24"/>
    <w:rsid w:val="006E5003"/>
    <w:rsid w:val="006E5C4B"/>
    <w:rsid w:val="006E5E21"/>
    <w:rsid w:val="006F09EA"/>
    <w:rsid w:val="006F1365"/>
    <w:rsid w:val="006F241D"/>
    <w:rsid w:val="006F2648"/>
    <w:rsid w:val="006F2F10"/>
    <w:rsid w:val="006F482B"/>
    <w:rsid w:val="006F5519"/>
    <w:rsid w:val="006F556B"/>
    <w:rsid w:val="006F6311"/>
    <w:rsid w:val="006F7B46"/>
    <w:rsid w:val="00701430"/>
    <w:rsid w:val="00701952"/>
    <w:rsid w:val="00702556"/>
    <w:rsid w:val="0070277E"/>
    <w:rsid w:val="00704156"/>
    <w:rsid w:val="00705351"/>
    <w:rsid w:val="007069FC"/>
    <w:rsid w:val="00710ED1"/>
    <w:rsid w:val="00711221"/>
    <w:rsid w:val="007112C2"/>
    <w:rsid w:val="007121AF"/>
    <w:rsid w:val="00712675"/>
    <w:rsid w:val="00713808"/>
    <w:rsid w:val="00713F37"/>
    <w:rsid w:val="007143A6"/>
    <w:rsid w:val="007151B6"/>
    <w:rsid w:val="0071520D"/>
    <w:rsid w:val="00715EDB"/>
    <w:rsid w:val="007160D5"/>
    <w:rsid w:val="007163FB"/>
    <w:rsid w:val="00717229"/>
    <w:rsid w:val="00717269"/>
    <w:rsid w:val="00717C2E"/>
    <w:rsid w:val="007204FA"/>
    <w:rsid w:val="007213B3"/>
    <w:rsid w:val="00721D24"/>
    <w:rsid w:val="00722E54"/>
    <w:rsid w:val="00722F7C"/>
    <w:rsid w:val="0072311C"/>
    <w:rsid w:val="00723A5A"/>
    <w:rsid w:val="00723C27"/>
    <w:rsid w:val="00723E28"/>
    <w:rsid w:val="0072457F"/>
    <w:rsid w:val="00725023"/>
    <w:rsid w:val="00725406"/>
    <w:rsid w:val="0072621B"/>
    <w:rsid w:val="00730555"/>
    <w:rsid w:val="007312CC"/>
    <w:rsid w:val="00731BDE"/>
    <w:rsid w:val="0073268D"/>
    <w:rsid w:val="00734725"/>
    <w:rsid w:val="007357B0"/>
    <w:rsid w:val="00736A64"/>
    <w:rsid w:val="00737CE6"/>
    <w:rsid w:val="00737F6A"/>
    <w:rsid w:val="007410A1"/>
    <w:rsid w:val="007410B6"/>
    <w:rsid w:val="007433B6"/>
    <w:rsid w:val="00744C6F"/>
    <w:rsid w:val="007457F6"/>
    <w:rsid w:val="00745ABB"/>
    <w:rsid w:val="00746E38"/>
    <w:rsid w:val="00747AA6"/>
    <w:rsid w:val="00747CD5"/>
    <w:rsid w:val="00750C1F"/>
    <w:rsid w:val="00751B19"/>
    <w:rsid w:val="0075293D"/>
    <w:rsid w:val="00753B51"/>
    <w:rsid w:val="00753D84"/>
    <w:rsid w:val="00756629"/>
    <w:rsid w:val="007575D2"/>
    <w:rsid w:val="00757B4F"/>
    <w:rsid w:val="00757B6A"/>
    <w:rsid w:val="00760D15"/>
    <w:rsid w:val="007610E0"/>
    <w:rsid w:val="007620F0"/>
    <w:rsid w:val="007621AA"/>
    <w:rsid w:val="0076260A"/>
    <w:rsid w:val="00764A67"/>
    <w:rsid w:val="0076600B"/>
    <w:rsid w:val="007665D2"/>
    <w:rsid w:val="00767E54"/>
    <w:rsid w:val="00770F6B"/>
    <w:rsid w:val="00771883"/>
    <w:rsid w:val="00775A43"/>
    <w:rsid w:val="00776DC2"/>
    <w:rsid w:val="00780122"/>
    <w:rsid w:val="007807AF"/>
    <w:rsid w:val="0078214B"/>
    <w:rsid w:val="00783098"/>
    <w:rsid w:val="0078498A"/>
    <w:rsid w:val="00784B41"/>
    <w:rsid w:val="00785EE8"/>
    <w:rsid w:val="0078717A"/>
    <w:rsid w:val="007877BA"/>
    <w:rsid w:val="007878FE"/>
    <w:rsid w:val="007903FD"/>
    <w:rsid w:val="00792207"/>
    <w:rsid w:val="00792B64"/>
    <w:rsid w:val="00792E29"/>
    <w:rsid w:val="0079379A"/>
    <w:rsid w:val="00794953"/>
    <w:rsid w:val="007961CF"/>
    <w:rsid w:val="007968E7"/>
    <w:rsid w:val="007A0CB9"/>
    <w:rsid w:val="007A1F2F"/>
    <w:rsid w:val="007A2A5C"/>
    <w:rsid w:val="007A3A9B"/>
    <w:rsid w:val="007A4262"/>
    <w:rsid w:val="007A42B3"/>
    <w:rsid w:val="007A4E0D"/>
    <w:rsid w:val="007A5150"/>
    <w:rsid w:val="007A5373"/>
    <w:rsid w:val="007A5EEE"/>
    <w:rsid w:val="007A789F"/>
    <w:rsid w:val="007B0E49"/>
    <w:rsid w:val="007B1FDC"/>
    <w:rsid w:val="007B35AD"/>
    <w:rsid w:val="007B4823"/>
    <w:rsid w:val="007B75BC"/>
    <w:rsid w:val="007B77D0"/>
    <w:rsid w:val="007C01FD"/>
    <w:rsid w:val="007C0BD6"/>
    <w:rsid w:val="007C154A"/>
    <w:rsid w:val="007C348A"/>
    <w:rsid w:val="007C3806"/>
    <w:rsid w:val="007C4C0C"/>
    <w:rsid w:val="007C5BB7"/>
    <w:rsid w:val="007D07D5"/>
    <w:rsid w:val="007D0B17"/>
    <w:rsid w:val="007D18E1"/>
    <w:rsid w:val="007D1C64"/>
    <w:rsid w:val="007D32DD"/>
    <w:rsid w:val="007D3F8E"/>
    <w:rsid w:val="007D6DCE"/>
    <w:rsid w:val="007D72C4"/>
    <w:rsid w:val="007E1EE1"/>
    <w:rsid w:val="007E2CFE"/>
    <w:rsid w:val="007E3514"/>
    <w:rsid w:val="007E4168"/>
    <w:rsid w:val="007E546F"/>
    <w:rsid w:val="007E59C9"/>
    <w:rsid w:val="007F0072"/>
    <w:rsid w:val="007F2EB6"/>
    <w:rsid w:val="007F54C3"/>
    <w:rsid w:val="007F79E8"/>
    <w:rsid w:val="008008CD"/>
    <w:rsid w:val="0080119B"/>
    <w:rsid w:val="00802949"/>
    <w:rsid w:val="0080301E"/>
    <w:rsid w:val="0080365F"/>
    <w:rsid w:val="0080501F"/>
    <w:rsid w:val="00806C6F"/>
    <w:rsid w:val="00807F6A"/>
    <w:rsid w:val="00812BE5"/>
    <w:rsid w:val="00814765"/>
    <w:rsid w:val="00817429"/>
    <w:rsid w:val="00817B9F"/>
    <w:rsid w:val="00821514"/>
    <w:rsid w:val="00821E35"/>
    <w:rsid w:val="00824591"/>
    <w:rsid w:val="00824AED"/>
    <w:rsid w:val="008255CC"/>
    <w:rsid w:val="008277D1"/>
    <w:rsid w:val="00827820"/>
    <w:rsid w:val="00831B8B"/>
    <w:rsid w:val="0083405D"/>
    <w:rsid w:val="008341CA"/>
    <w:rsid w:val="008352D4"/>
    <w:rsid w:val="00835F4A"/>
    <w:rsid w:val="00836DB9"/>
    <w:rsid w:val="00837C67"/>
    <w:rsid w:val="0084020E"/>
    <w:rsid w:val="008415B0"/>
    <w:rsid w:val="00842028"/>
    <w:rsid w:val="00842D25"/>
    <w:rsid w:val="008436B8"/>
    <w:rsid w:val="00845577"/>
    <w:rsid w:val="008460B6"/>
    <w:rsid w:val="00847F4D"/>
    <w:rsid w:val="00850C9D"/>
    <w:rsid w:val="00852129"/>
    <w:rsid w:val="00852B59"/>
    <w:rsid w:val="00853BE5"/>
    <w:rsid w:val="0085472D"/>
    <w:rsid w:val="00856272"/>
    <w:rsid w:val="008563FF"/>
    <w:rsid w:val="0086018B"/>
    <w:rsid w:val="0086062C"/>
    <w:rsid w:val="0086117E"/>
    <w:rsid w:val="008611DD"/>
    <w:rsid w:val="00861792"/>
    <w:rsid w:val="00861810"/>
    <w:rsid w:val="008620DE"/>
    <w:rsid w:val="00865347"/>
    <w:rsid w:val="008658CE"/>
    <w:rsid w:val="00866867"/>
    <w:rsid w:val="00872257"/>
    <w:rsid w:val="00872B95"/>
    <w:rsid w:val="00872EF9"/>
    <w:rsid w:val="008753E6"/>
    <w:rsid w:val="0087738C"/>
    <w:rsid w:val="008802AF"/>
    <w:rsid w:val="0088050C"/>
    <w:rsid w:val="00881926"/>
    <w:rsid w:val="008826EA"/>
    <w:rsid w:val="0088318F"/>
    <w:rsid w:val="0088331D"/>
    <w:rsid w:val="00884A95"/>
    <w:rsid w:val="00885211"/>
    <w:rsid w:val="008852B0"/>
    <w:rsid w:val="00885AE7"/>
    <w:rsid w:val="00885DA3"/>
    <w:rsid w:val="00885EB1"/>
    <w:rsid w:val="00886B60"/>
    <w:rsid w:val="00887889"/>
    <w:rsid w:val="00891117"/>
    <w:rsid w:val="008920FF"/>
    <w:rsid w:val="008926E8"/>
    <w:rsid w:val="00894F19"/>
    <w:rsid w:val="00896A10"/>
    <w:rsid w:val="008971B5"/>
    <w:rsid w:val="008A091F"/>
    <w:rsid w:val="008A2802"/>
    <w:rsid w:val="008A3012"/>
    <w:rsid w:val="008A5D26"/>
    <w:rsid w:val="008A61DD"/>
    <w:rsid w:val="008A6B13"/>
    <w:rsid w:val="008A6ECB"/>
    <w:rsid w:val="008B0467"/>
    <w:rsid w:val="008B0BF9"/>
    <w:rsid w:val="008B103C"/>
    <w:rsid w:val="008B2866"/>
    <w:rsid w:val="008B3859"/>
    <w:rsid w:val="008B436D"/>
    <w:rsid w:val="008B4E49"/>
    <w:rsid w:val="008B661E"/>
    <w:rsid w:val="008B7712"/>
    <w:rsid w:val="008B7B26"/>
    <w:rsid w:val="008C1A71"/>
    <w:rsid w:val="008C1AD1"/>
    <w:rsid w:val="008C1D68"/>
    <w:rsid w:val="008C213E"/>
    <w:rsid w:val="008C2773"/>
    <w:rsid w:val="008C2A7B"/>
    <w:rsid w:val="008C3524"/>
    <w:rsid w:val="008C4061"/>
    <w:rsid w:val="008C4229"/>
    <w:rsid w:val="008C54BE"/>
    <w:rsid w:val="008C5BE0"/>
    <w:rsid w:val="008C7233"/>
    <w:rsid w:val="008D0CF2"/>
    <w:rsid w:val="008D101D"/>
    <w:rsid w:val="008D2434"/>
    <w:rsid w:val="008D2883"/>
    <w:rsid w:val="008D3EB8"/>
    <w:rsid w:val="008D66A0"/>
    <w:rsid w:val="008D7B51"/>
    <w:rsid w:val="008E1582"/>
    <w:rsid w:val="008E171D"/>
    <w:rsid w:val="008E2785"/>
    <w:rsid w:val="008E44EC"/>
    <w:rsid w:val="008E4CB1"/>
    <w:rsid w:val="008E5AAA"/>
    <w:rsid w:val="008E611A"/>
    <w:rsid w:val="008E78A3"/>
    <w:rsid w:val="008F0654"/>
    <w:rsid w:val="008F06CB"/>
    <w:rsid w:val="008F2E83"/>
    <w:rsid w:val="008F3D14"/>
    <w:rsid w:val="008F56A2"/>
    <w:rsid w:val="008F612A"/>
    <w:rsid w:val="008F6DB1"/>
    <w:rsid w:val="008F7C98"/>
    <w:rsid w:val="00901653"/>
    <w:rsid w:val="0090293D"/>
    <w:rsid w:val="009034DE"/>
    <w:rsid w:val="00903950"/>
    <w:rsid w:val="0090507E"/>
    <w:rsid w:val="00905396"/>
    <w:rsid w:val="0090605D"/>
    <w:rsid w:val="00906419"/>
    <w:rsid w:val="0090694F"/>
    <w:rsid w:val="00907199"/>
    <w:rsid w:val="0091257C"/>
    <w:rsid w:val="00912889"/>
    <w:rsid w:val="00913A42"/>
    <w:rsid w:val="00914167"/>
    <w:rsid w:val="009143DB"/>
    <w:rsid w:val="00915065"/>
    <w:rsid w:val="00917375"/>
    <w:rsid w:val="00917704"/>
    <w:rsid w:val="00917CE5"/>
    <w:rsid w:val="009217C0"/>
    <w:rsid w:val="00925241"/>
    <w:rsid w:val="00925CEC"/>
    <w:rsid w:val="00926A3F"/>
    <w:rsid w:val="0092794E"/>
    <w:rsid w:val="00930D30"/>
    <w:rsid w:val="009332A2"/>
    <w:rsid w:val="009348BF"/>
    <w:rsid w:val="009361A6"/>
    <w:rsid w:val="00936910"/>
    <w:rsid w:val="00937598"/>
    <w:rsid w:val="0093790B"/>
    <w:rsid w:val="00940438"/>
    <w:rsid w:val="00941411"/>
    <w:rsid w:val="00941A55"/>
    <w:rsid w:val="00943751"/>
    <w:rsid w:val="009442D3"/>
    <w:rsid w:val="009448BF"/>
    <w:rsid w:val="00946DD0"/>
    <w:rsid w:val="00947A18"/>
    <w:rsid w:val="009509E6"/>
    <w:rsid w:val="009516AF"/>
    <w:rsid w:val="00951D71"/>
    <w:rsid w:val="00952018"/>
    <w:rsid w:val="00952800"/>
    <w:rsid w:val="0095300D"/>
    <w:rsid w:val="00956812"/>
    <w:rsid w:val="00956F9E"/>
    <w:rsid w:val="0095719A"/>
    <w:rsid w:val="0096072B"/>
    <w:rsid w:val="00961387"/>
    <w:rsid w:val="009623E9"/>
    <w:rsid w:val="00963EEB"/>
    <w:rsid w:val="009648BC"/>
    <w:rsid w:val="00964C2F"/>
    <w:rsid w:val="00965F88"/>
    <w:rsid w:val="00966608"/>
    <w:rsid w:val="00973A71"/>
    <w:rsid w:val="009740C0"/>
    <w:rsid w:val="0097710F"/>
    <w:rsid w:val="00980E97"/>
    <w:rsid w:val="00984E03"/>
    <w:rsid w:val="00986010"/>
    <w:rsid w:val="00987676"/>
    <w:rsid w:val="0098769F"/>
    <w:rsid w:val="00987E85"/>
    <w:rsid w:val="009920D5"/>
    <w:rsid w:val="0099349A"/>
    <w:rsid w:val="0099409A"/>
    <w:rsid w:val="00995866"/>
    <w:rsid w:val="00997029"/>
    <w:rsid w:val="00997D09"/>
    <w:rsid w:val="009A096A"/>
    <w:rsid w:val="009A0D12"/>
    <w:rsid w:val="009A0FE6"/>
    <w:rsid w:val="009A1987"/>
    <w:rsid w:val="009A2B01"/>
    <w:rsid w:val="009A2BEE"/>
    <w:rsid w:val="009A3210"/>
    <w:rsid w:val="009A3C1D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44E"/>
    <w:rsid w:val="009C328C"/>
    <w:rsid w:val="009C4444"/>
    <w:rsid w:val="009C4AAF"/>
    <w:rsid w:val="009C4CC8"/>
    <w:rsid w:val="009C4D3E"/>
    <w:rsid w:val="009C585E"/>
    <w:rsid w:val="009C79AD"/>
    <w:rsid w:val="009C7CA6"/>
    <w:rsid w:val="009D3316"/>
    <w:rsid w:val="009D3D8D"/>
    <w:rsid w:val="009D55AA"/>
    <w:rsid w:val="009D6D95"/>
    <w:rsid w:val="009D7716"/>
    <w:rsid w:val="009E3E77"/>
    <w:rsid w:val="009E3FAB"/>
    <w:rsid w:val="009E584D"/>
    <w:rsid w:val="009E5B3F"/>
    <w:rsid w:val="009E6252"/>
    <w:rsid w:val="009E7D90"/>
    <w:rsid w:val="009E7F19"/>
    <w:rsid w:val="009F085E"/>
    <w:rsid w:val="009F0E42"/>
    <w:rsid w:val="009F1AB0"/>
    <w:rsid w:val="009F23CF"/>
    <w:rsid w:val="009F4016"/>
    <w:rsid w:val="009F4DBE"/>
    <w:rsid w:val="009F501D"/>
    <w:rsid w:val="009F5D4E"/>
    <w:rsid w:val="00A0029D"/>
    <w:rsid w:val="00A01055"/>
    <w:rsid w:val="00A029D1"/>
    <w:rsid w:val="00A02E43"/>
    <w:rsid w:val="00A039D5"/>
    <w:rsid w:val="00A046AD"/>
    <w:rsid w:val="00A053B4"/>
    <w:rsid w:val="00A079C1"/>
    <w:rsid w:val="00A10F02"/>
    <w:rsid w:val="00A12520"/>
    <w:rsid w:val="00A12579"/>
    <w:rsid w:val="00A130FD"/>
    <w:rsid w:val="00A132E8"/>
    <w:rsid w:val="00A13D6D"/>
    <w:rsid w:val="00A14769"/>
    <w:rsid w:val="00A14B27"/>
    <w:rsid w:val="00A15499"/>
    <w:rsid w:val="00A16151"/>
    <w:rsid w:val="00A16763"/>
    <w:rsid w:val="00A16EC6"/>
    <w:rsid w:val="00A17708"/>
    <w:rsid w:val="00A17732"/>
    <w:rsid w:val="00A17C06"/>
    <w:rsid w:val="00A2126E"/>
    <w:rsid w:val="00A21706"/>
    <w:rsid w:val="00A24FCC"/>
    <w:rsid w:val="00A26A90"/>
    <w:rsid w:val="00A26B27"/>
    <w:rsid w:val="00A27641"/>
    <w:rsid w:val="00A30E4F"/>
    <w:rsid w:val="00A31D2A"/>
    <w:rsid w:val="00A32253"/>
    <w:rsid w:val="00A32AB4"/>
    <w:rsid w:val="00A3310E"/>
    <w:rsid w:val="00A333A0"/>
    <w:rsid w:val="00A37471"/>
    <w:rsid w:val="00A37E70"/>
    <w:rsid w:val="00A437E1"/>
    <w:rsid w:val="00A4685E"/>
    <w:rsid w:val="00A5091A"/>
    <w:rsid w:val="00A50CD4"/>
    <w:rsid w:val="00A51191"/>
    <w:rsid w:val="00A51DD6"/>
    <w:rsid w:val="00A5216C"/>
    <w:rsid w:val="00A52C77"/>
    <w:rsid w:val="00A5529F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B3F"/>
    <w:rsid w:val="00A70D94"/>
    <w:rsid w:val="00A716F6"/>
    <w:rsid w:val="00A71BB8"/>
    <w:rsid w:val="00A737ED"/>
    <w:rsid w:val="00A7436E"/>
    <w:rsid w:val="00A74E96"/>
    <w:rsid w:val="00A75A8E"/>
    <w:rsid w:val="00A765A2"/>
    <w:rsid w:val="00A80242"/>
    <w:rsid w:val="00A81E11"/>
    <w:rsid w:val="00A824DD"/>
    <w:rsid w:val="00A82FB9"/>
    <w:rsid w:val="00A83676"/>
    <w:rsid w:val="00A83B7B"/>
    <w:rsid w:val="00A84274"/>
    <w:rsid w:val="00A850F3"/>
    <w:rsid w:val="00A862F0"/>
    <w:rsid w:val="00A864E3"/>
    <w:rsid w:val="00A87896"/>
    <w:rsid w:val="00A931C8"/>
    <w:rsid w:val="00A94574"/>
    <w:rsid w:val="00A94B55"/>
    <w:rsid w:val="00A95936"/>
    <w:rsid w:val="00A96265"/>
    <w:rsid w:val="00A97084"/>
    <w:rsid w:val="00A97CF5"/>
    <w:rsid w:val="00AA1C2C"/>
    <w:rsid w:val="00AA35F6"/>
    <w:rsid w:val="00AA3DA6"/>
    <w:rsid w:val="00AA4CA4"/>
    <w:rsid w:val="00AA5C32"/>
    <w:rsid w:val="00AA667C"/>
    <w:rsid w:val="00AA6C69"/>
    <w:rsid w:val="00AA6E91"/>
    <w:rsid w:val="00AA7439"/>
    <w:rsid w:val="00AA7A90"/>
    <w:rsid w:val="00AB0253"/>
    <w:rsid w:val="00AB047E"/>
    <w:rsid w:val="00AB0B0A"/>
    <w:rsid w:val="00AB0BB7"/>
    <w:rsid w:val="00AB0C4A"/>
    <w:rsid w:val="00AB22C6"/>
    <w:rsid w:val="00AB2AD0"/>
    <w:rsid w:val="00AB67FC"/>
    <w:rsid w:val="00AC00F2"/>
    <w:rsid w:val="00AC059C"/>
    <w:rsid w:val="00AC2204"/>
    <w:rsid w:val="00AC27E5"/>
    <w:rsid w:val="00AC2B04"/>
    <w:rsid w:val="00AC31B5"/>
    <w:rsid w:val="00AC3255"/>
    <w:rsid w:val="00AC4EA1"/>
    <w:rsid w:val="00AC5381"/>
    <w:rsid w:val="00AC5920"/>
    <w:rsid w:val="00AC5B15"/>
    <w:rsid w:val="00AC5DCB"/>
    <w:rsid w:val="00AD0E65"/>
    <w:rsid w:val="00AD251F"/>
    <w:rsid w:val="00AD2BF2"/>
    <w:rsid w:val="00AD4E90"/>
    <w:rsid w:val="00AD53EE"/>
    <w:rsid w:val="00AD5422"/>
    <w:rsid w:val="00AE4179"/>
    <w:rsid w:val="00AE4425"/>
    <w:rsid w:val="00AE4FBE"/>
    <w:rsid w:val="00AE5BCC"/>
    <w:rsid w:val="00AE650F"/>
    <w:rsid w:val="00AE6555"/>
    <w:rsid w:val="00AE7D16"/>
    <w:rsid w:val="00AF06E9"/>
    <w:rsid w:val="00AF1B39"/>
    <w:rsid w:val="00AF4050"/>
    <w:rsid w:val="00AF465A"/>
    <w:rsid w:val="00AF4CAA"/>
    <w:rsid w:val="00AF4FA7"/>
    <w:rsid w:val="00AF54CA"/>
    <w:rsid w:val="00AF571A"/>
    <w:rsid w:val="00AF60A0"/>
    <w:rsid w:val="00AF67FC"/>
    <w:rsid w:val="00AF6E7A"/>
    <w:rsid w:val="00AF7DF5"/>
    <w:rsid w:val="00B006E5"/>
    <w:rsid w:val="00B00F19"/>
    <w:rsid w:val="00B024C2"/>
    <w:rsid w:val="00B045AF"/>
    <w:rsid w:val="00B05AF4"/>
    <w:rsid w:val="00B05EB6"/>
    <w:rsid w:val="00B07700"/>
    <w:rsid w:val="00B07E1B"/>
    <w:rsid w:val="00B13921"/>
    <w:rsid w:val="00B14DCF"/>
    <w:rsid w:val="00B1528C"/>
    <w:rsid w:val="00B15D31"/>
    <w:rsid w:val="00B15F03"/>
    <w:rsid w:val="00B16ACD"/>
    <w:rsid w:val="00B21487"/>
    <w:rsid w:val="00B21F5A"/>
    <w:rsid w:val="00B232D1"/>
    <w:rsid w:val="00B24DB5"/>
    <w:rsid w:val="00B253D2"/>
    <w:rsid w:val="00B25B1E"/>
    <w:rsid w:val="00B27BED"/>
    <w:rsid w:val="00B31F9E"/>
    <w:rsid w:val="00B3268F"/>
    <w:rsid w:val="00B32759"/>
    <w:rsid w:val="00B328AA"/>
    <w:rsid w:val="00B32C2C"/>
    <w:rsid w:val="00B3351C"/>
    <w:rsid w:val="00B33A1A"/>
    <w:rsid w:val="00B33B2E"/>
    <w:rsid w:val="00B33E6C"/>
    <w:rsid w:val="00B34E54"/>
    <w:rsid w:val="00B35A66"/>
    <w:rsid w:val="00B371CC"/>
    <w:rsid w:val="00B3724C"/>
    <w:rsid w:val="00B41CD9"/>
    <w:rsid w:val="00B42291"/>
    <w:rsid w:val="00B427E6"/>
    <w:rsid w:val="00B428A6"/>
    <w:rsid w:val="00B43A70"/>
    <w:rsid w:val="00B43E1F"/>
    <w:rsid w:val="00B44243"/>
    <w:rsid w:val="00B45FBC"/>
    <w:rsid w:val="00B47B89"/>
    <w:rsid w:val="00B51A7D"/>
    <w:rsid w:val="00B52CAF"/>
    <w:rsid w:val="00B535C2"/>
    <w:rsid w:val="00B55544"/>
    <w:rsid w:val="00B55B06"/>
    <w:rsid w:val="00B5705C"/>
    <w:rsid w:val="00B61BAD"/>
    <w:rsid w:val="00B61EBB"/>
    <w:rsid w:val="00B642FC"/>
    <w:rsid w:val="00B64A8A"/>
    <w:rsid w:val="00B64B95"/>
    <w:rsid w:val="00B64D26"/>
    <w:rsid w:val="00B64FBB"/>
    <w:rsid w:val="00B70E22"/>
    <w:rsid w:val="00B71566"/>
    <w:rsid w:val="00B75A9B"/>
    <w:rsid w:val="00B774CB"/>
    <w:rsid w:val="00B77BF7"/>
    <w:rsid w:val="00B80402"/>
    <w:rsid w:val="00B8048D"/>
    <w:rsid w:val="00B80B9A"/>
    <w:rsid w:val="00B82D92"/>
    <w:rsid w:val="00B830B7"/>
    <w:rsid w:val="00B848EA"/>
    <w:rsid w:val="00B84B2B"/>
    <w:rsid w:val="00B87D79"/>
    <w:rsid w:val="00B87F06"/>
    <w:rsid w:val="00B90500"/>
    <w:rsid w:val="00B9107C"/>
    <w:rsid w:val="00B9176C"/>
    <w:rsid w:val="00B92BE5"/>
    <w:rsid w:val="00B935A4"/>
    <w:rsid w:val="00B93749"/>
    <w:rsid w:val="00B9500E"/>
    <w:rsid w:val="00B95C42"/>
    <w:rsid w:val="00B95E14"/>
    <w:rsid w:val="00BA14DD"/>
    <w:rsid w:val="00BA34C9"/>
    <w:rsid w:val="00BA561A"/>
    <w:rsid w:val="00BA6169"/>
    <w:rsid w:val="00BA6778"/>
    <w:rsid w:val="00BB0414"/>
    <w:rsid w:val="00BB0D8D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AE1"/>
    <w:rsid w:val="00BC1D2A"/>
    <w:rsid w:val="00BC4BC6"/>
    <w:rsid w:val="00BC52FD"/>
    <w:rsid w:val="00BC6E62"/>
    <w:rsid w:val="00BC7443"/>
    <w:rsid w:val="00BD0648"/>
    <w:rsid w:val="00BD1040"/>
    <w:rsid w:val="00BD34AA"/>
    <w:rsid w:val="00BD55E8"/>
    <w:rsid w:val="00BE0C44"/>
    <w:rsid w:val="00BE1B8B"/>
    <w:rsid w:val="00BE2A18"/>
    <w:rsid w:val="00BE2C01"/>
    <w:rsid w:val="00BE41EC"/>
    <w:rsid w:val="00BE56FB"/>
    <w:rsid w:val="00BE5AE1"/>
    <w:rsid w:val="00BE7A9A"/>
    <w:rsid w:val="00BF0C33"/>
    <w:rsid w:val="00BF0D1F"/>
    <w:rsid w:val="00BF0E99"/>
    <w:rsid w:val="00BF12F4"/>
    <w:rsid w:val="00BF1AAE"/>
    <w:rsid w:val="00BF357E"/>
    <w:rsid w:val="00BF3DDE"/>
    <w:rsid w:val="00BF6589"/>
    <w:rsid w:val="00BF6F7F"/>
    <w:rsid w:val="00BF7763"/>
    <w:rsid w:val="00C00647"/>
    <w:rsid w:val="00C02764"/>
    <w:rsid w:val="00C04CEF"/>
    <w:rsid w:val="00C0662F"/>
    <w:rsid w:val="00C11943"/>
    <w:rsid w:val="00C11D27"/>
    <w:rsid w:val="00C12E96"/>
    <w:rsid w:val="00C13553"/>
    <w:rsid w:val="00C145AE"/>
    <w:rsid w:val="00C14763"/>
    <w:rsid w:val="00C16141"/>
    <w:rsid w:val="00C2023A"/>
    <w:rsid w:val="00C2363F"/>
    <w:rsid w:val="00C236C8"/>
    <w:rsid w:val="00C2410B"/>
    <w:rsid w:val="00C260B1"/>
    <w:rsid w:val="00C26E56"/>
    <w:rsid w:val="00C26EE9"/>
    <w:rsid w:val="00C30D0B"/>
    <w:rsid w:val="00C31406"/>
    <w:rsid w:val="00C32FAA"/>
    <w:rsid w:val="00C37194"/>
    <w:rsid w:val="00C40095"/>
    <w:rsid w:val="00C40637"/>
    <w:rsid w:val="00C40702"/>
    <w:rsid w:val="00C40F6C"/>
    <w:rsid w:val="00C435D9"/>
    <w:rsid w:val="00C44426"/>
    <w:rsid w:val="00C445F3"/>
    <w:rsid w:val="00C451F4"/>
    <w:rsid w:val="00C45EB1"/>
    <w:rsid w:val="00C52D37"/>
    <w:rsid w:val="00C52F1A"/>
    <w:rsid w:val="00C54A3A"/>
    <w:rsid w:val="00C55566"/>
    <w:rsid w:val="00C56448"/>
    <w:rsid w:val="00C5746F"/>
    <w:rsid w:val="00C638D0"/>
    <w:rsid w:val="00C64D80"/>
    <w:rsid w:val="00C65DFC"/>
    <w:rsid w:val="00C667BE"/>
    <w:rsid w:val="00C6766B"/>
    <w:rsid w:val="00C67DCF"/>
    <w:rsid w:val="00C708C0"/>
    <w:rsid w:val="00C72223"/>
    <w:rsid w:val="00C742C8"/>
    <w:rsid w:val="00C7579C"/>
    <w:rsid w:val="00C7595B"/>
    <w:rsid w:val="00C75DDD"/>
    <w:rsid w:val="00C76417"/>
    <w:rsid w:val="00C76DF3"/>
    <w:rsid w:val="00C7726F"/>
    <w:rsid w:val="00C807F2"/>
    <w:rsid w:val="00C81630"/>
    <w:rsid w:val="00C823DA"/>
    <w:rsid w:val="00C8259F"/>
    <w:rsid w:val="00C82746"/>
    <w:rsid w:val="00C8312F"/>
    <w:rsid w:val="00C84C47"/>
    <w:rsid w:val="00C858A4"/>
    <w:rsid w:val="00C85DCB"/>
    <w:rsid w:val="00C863F4"/>
    <w:rsid w:val="00C86AFA"/>
    <w:rsid w:val="00C912D0"/>
    <w:rsid w:val="00C94C66"/>
    <w:rsid w:val="00CB039D"/>
    <w:rsid w:val="00CB11D3"/>
    <w:rsid w:val="00CB18D0"/>
    <w:rsid w:val="00CB1C8A"/>
    <w:rsid w:val="00CB24F5"/>
    <w:rsid w:val="00CB2663"/>
    <w:rsid w:val="00CB2800"/>
    <w:rsid w:val="00CB2A9C"/>
    <w:rsid w:val="00CB2F92"/>
    <w:rsid w:val="00CB3BBE"/>
    <w:rsid w:val="00CB59E9"/>
    <w:rsid w:val="00CC0D6A"/>
    <w:rsid w:val="00CC3831"/>
    <w:rsid w:val="00CC3E3D"/>
    <w:rsid w:val="00CC4633"/>
    <w:rsid w:val="00CC519B"/>
    <w:rsid w:val="00CC541D"/>
    <w:rsid w:val="00CC7373"/>
    <w:rsid w:val="00CC77C3"/>
    <w:rsid w:val="00CC7F72"/>
    <w:rsid w:val="00CD12C1"/>
    <w:rsid w:val="00CD18CA"/>
    <w:rsid w:val="00CD214E"/>
    <w:rsid w:val="00CD4111"/>
    <w:rsid w:val="00CD46FA"/>
    <w:rsid w:val="00CD5973"/>
    <w:rsid w:val="00CD6AAF"/>
    <w:rsid w:val="00CE1088"/>
    <w:rsid w:val="00CE31A6"/>
    <w:rsid w:val="00CE3399"/>
    <w:rsid w:val="00CE35E7"/>
    <w:rsid w:val="00CE5602"/>
    <w:rsid w:val="00CE56F0"/>
    <w:rsid w:val="00CF09AA"/>
    <w:rsid w:val="00CF20EE"/>
    <w:rsid w:val="00CF427D"/>
    <w:rsid w:val="00CF4813"/>
    <w:rsid w:val="00CF5233"/>
    <w:rsid w:val="00CF64C2"/>
    <w:rsid w:val="00CF6629"/>
    <w:rsid w:val="00D008AD"/>
    <w:rsid w:val="00D029B8"/>
    <w:rsid w:val="00D02F60"/>
    <w:rsid w:val="00D0316D"/>
    <w:rsid w:val="00D0464E"/>
    <w:rsid w:val="00D04A96"/>
    <w:rsid w:val="00D07A7B"/>
    <w:rsid w:val="00D107C8"/>
    <w:rsid w:val="00D10E06"/>
    <w:rsid w:val="00D15197"/>
    <w:rsid w:val="00D15C62"/>
    <w:rsid w:val="00D16820"/>
    <w:rsid w:val="00D169C8"/>
    <w:rsid w:val="00D1709C"/>
    <w:rsid w:val="00D17126"/>
    <w:rsid w:val="00D1793F"/>
    <w:rsid w:val="00D22AF5"/>
    <w:rsid w:val="00D23376"/>
    <w:rsid w:val="00D235EA"/>
    <w:rsid w:val="00D247A9"/>
    <w:rsid w:val="00D2780E"/>
    <w:rsid w:val="00D32721"/>
    <w:rsid w:val="00D328DC"/>
    <w:rsid w:val="00D32E1F"/>
    <w:rsid w:val="00D33387"/>
    <w:rsid w:val="00D402FB"/>
    <w:rsid w:val="00D41124"/>
    <w:rsid w:val="00D45486"/>
    <w:rsid w:val="00D47D7A"/>
    <w:rsid w:val="00D50ABD"/>
    <w:rsid w:val="00D51032"/>
    <w:rsid w:val="00D52DD9"/>
    <w:rsid w:val="00D53193"/>
    <w:rsid w:val="00D55290"/>
    <w:rsid w:val="00D55F62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796"/>
    <w:rsid w:val="00D72A54"/>
    <w:rsid w:val="00D72CC1"/>
    <w:rsid w:val="00D76EC9"/>
    <w:rsid w:val="00D80E7D"/>
    <w:rsid w:val="00D80E97"/>
    <w:rsid w:val="00D81397"/>
    <w:rsid w:val="00D8148E"/>
    <w:rsid w:val="00D829F2"/>
    <w:rsid w:val="00D848B9"/>
    <w:rsid w:val="00D85AE7"/>
    <w:rsid w:val="00D864A7"/>
    <w:rsid w:val="00D90E69"/>
    <w:rsid w:val="00D90F2C"/>
    <w:rsid w:val="00D91368"/>
    <w:rsid w:val="00D91820"/>
    <w:rsid w:val="00D93106"/>
    <w:rsid w:val="00D933E9"/>
    <w:rsid w:val="00D9505D"/>
    <w:rsid w:val="00D953D0"/>
    <w:rsid w:val="00D959F5"/>
    <w:rsid w:val="00D96884"/>
    <w:rsid w:val="00DA3FDD"/>
    <w:rsid w:val="00DA5B3E"/>
    <w:rsid w:val="00DA7017"/>
    <w:rsid w:val="00DA7028"/>
    <w:rsid w:val="00DA712D"/>
    <w:rsid w:val="00DB1A10"/>
    <w:rsid w:val="00DB1AD2"/>
    <w:rsid w:val="00DB27C3"/>
    <w:rsid w:val="00DB2B58"/>
    <w:rsid w:val="00DB508D"/>
    <w:rsid w:val="00DB5206"/>
    <w:rsid w:val="00DB6276"/>
    <w:rsid w:val="00DB63F5"/>
    <w:rsid w:val="00DB6408"/>
    <w:rsid w:val="00DB6A17"/>
    <w:rsid w:val="00DC0821"/>
    <w:rsid w:val="00DC1C6B"/>
    <w:rsid w:val="00DC2C2E"/>
    <w:rsid w:val="00DC4AF0"/>
    <w:rsid w:val="00DC7886"/>
    <w:rsid w:val="00DC7F31"/>
    <w:rsid w:val="00DD0CF2"/>
    <w:rsid w:val="00DD3F67"/>
    <w:rsid w:val="00DD64DF"/>
    <w:rsid w:val="00DE10E8"/>
    <w:rsid w:val="00DE1554"/>
    <w:rsid w:val="00DE2649"/>
    <w:rsid w:val="00DE2901"/>
    <w:rsid w:val="00DE29A6"/>
    <w:rsid w:val="00DE590F"/>
    <w:rsid w:val="00DE7DC1"/>
    <w:rsid w:val="00DF01A0"/>
    <w:rsid w:val="00DF12CD"/>
    <w:rsid w:val="00DF2E08"/>
    <w:rsid w:val="00DF3F7E"/>
    <w:rsid w:val="00DF542C"/>
    <w:rsid w:val="00DF5617"/>
    <w:rsid w:val="00DF7648"/>
    <w:rsid w:val="00DF779D"/>
    <w:rsid w:val="00E0097C"/>
    <w:rsid w:val="00E00E29"/>
    <w:rsid w:val="00E01D85"/>
    <w:rsid w:val="00E02BAB"/>
    <w:rsid w:val="00E02C44"/>
    <w:rsid w:val="00E03634"/>
    <w:rsid w:val="00E04CEB"/>
    <w:rsid w:val="00E060BC"/>
    <w:rsid w:val="00E101D2"/>
    <w:rsid w:val="00E11420"/>
    <w:rsid w:val="00E132FB"/>
    <w:rsid w:val="00E170B7"/>
    <w:rsid w:val="00E177DD"/>
    <w:rsid w:val="00E17E15"/>
    <w:rsid w:val="00E20900"/>
    <w:rsid w:val="00E20C7F"/>
    <w:rsid w:val="00E23358"/>
    <w:rsid w:val="00E2396E"/>
    <w:rsid w:val="00E24728"/>
    <w:rsid w:val="00E24DBA"/>
    <w:rsid w:val="00E26920"/>
    <w:rsid w:val="00E276AC"/>
    <w:rsid w:val="00E300C8"/>
    <w:rsid w:val="00E306D2"/>
    <w:rsid w:val="00E31518"/>
    <w:rsid w:val="00E31D03"/>
    <w:rsid w:val="00E34A35"/>
    <w:rsid w:val="00E34C07"/>
    <w:rsid w:val="00E35488"/>
    <w:rsid w:val="00E3593D"/>
    <w:rsid w:val="00E3717F"/>
    <w:rsid w:val="00E37C2F"/>
    <w:rsid w:val="00E37D0E"/>
    <w:rsid w:val="00E4070A"/>
    <w:rsid w:val="00E41C28"/>
    <w:rsid w:val="00E453F0"/>
    <w:rsid w:val="00E46308"/>
    <w:rsid w:val="00E47D1B"/>
    <w:rsid w:val="00E50F3D"/>
    <w:rsid w:val="00E51E17"/>
    <w:rsid w:val="00E52DAB"/>
    <w:rsid w:val="00E539B0"/>
    <w:rsid w:val="00E55994"/>
    <w:rsid w:val="00E57F12"/>
    <w:rsid w:val="00E60134"/>
    <w:rsid w:val="00E60606"/>
    <w:rsid w:val="00E60C66"/>
    <w:rsid w:val="00E6164D"/>
    <w:rsid w:val="00E618C9"/>
    <w:rsid w:val="00E62774"/>
    <w:rsid w:val="00E6307C"/>
    <w:rsid w:val="00E63146"/>
    <w:rsid w:val="00E63568"/>
    <w:rsid w:val="00E636FA"/>
    <w:rsid w:val="00E64277"/>
    <w:rsid w:val="00E65506"/>
    <w:rsid w:val="00E66C50"/>
    <w:rsid w:val="00E679D3"/>
    <w:rsid w:val="00E71208"/>
    <w:rsid w:val="00E71444"/>
    <w:rsid w:val="00E71A53"/>
    <w:rsid w:val="00E71C91"/>
    <w:rsid w:val="00E720A1"/>
    <w:rsid w:val="00E732D2"/>
    <w:rsid w:val="00E74524"/>
    <w:rsid w:val="00E74983"/>
    <w:rsid w:val="00E75C3D"/>
    <w:rsid w:val="00E75DDA"/>
    <w:rsid w:val="00E76FE8"/>
    <w:rsid w:val="00E773E8"/>
    <w:rsid w:val="00E77CF2"/>
    <w:rsid w:val="00E83ADD"/>
    <w:rsid w:val="00E84F38"/>
    <w:rsid w:val="00E85623"/>
    <w:rsid w:val="00E8625D"/>
    <w:rsid w:val="00E87441"/>
    <w:rsid w:val="00E87807"/>
    <w:rsid w:val="00E91FAE"/>
    <w:rsid w:val="00E92449"/>
    <w:rsid w:val="00E93778"/>
    <w:rsid w:val="00E9588C"/>
    <w:rsid w:val="00E95CD7"/>
    <w:rsid w:val="00E96E3F"/>
    <w:rsid w:val="00E9730F"/>
    <w:rsid w:val="00E97E79"/>
    <w:rsid w:val="00EA270C"/>
    <w:rsid w:val="00EA2C75"/>
    <w:rsid w:val="00EA4974"/>
    <w:rsid w:val="00EA532E"/>
    <w:rsid w:val="00EB06D9"/>
    <w:rsid w:val="00EB07BB"/>
    <w:rsid w:val="00EB192B"/>
    <w:rsid w:val="00EB19ED"/>
    <w:rsid w:val="00EB1CAB"/>
    <w:rsid w:val="00EB20F4"/>
    <w:rsid w:val="00EB37E3"/>
    <w:rsid w:val="00EB3B18"/>
    <w:rsid w:val="00EB7FEA"/>
    <w:rsid w:val="00EC0F5A"/>
    <w:rsid w:val="00EC4265"/>
    <w:rsid w:val="00EC4CEB"/>
    <w:rsid w:val="00EC659E"/>
    <w:rsid w:val="00EC659F"/>
    <w:rsid w:val="00EC70A4"/>
    <w:rsid w:val="00EC7234"/>
    <w:rsid w:val="00ED0136"/>
    <w:rsid w:val="00ED2072"/>
    <w:rsid w:val="00ED2AE0"/>
    <w:rsid w:val="00ED45B6"/>
    <w:rsid w:val="00ED4A13"/>
    <w:rsid w:val="00ED5553"/>
    <w:rsid w:val="00ED5E36"/>
    <w:rsid w:val="00ED6653"/>
    <w:rsid w:val="00ED6961"/>
    <w:rsid w:val="00EE1851"/>
    <w:rsid w:val="00EE1C68"/>
    <w:rsid w:val="00EE2715"/>
    <w:rsid w:val="00EE2DE2"/>
    <w:rsid w:val="00EE5511"/>
    <w:rsid w:val="00EE61A3"/>
    <w:rsid w:val="00EE62C0"/>
    <w:rsid w:val="00EE6F70"/>
    <w:rsid w:val="00EE7F30"/>
    <w:rsid w:val="00EF0B96"/>
    <w:rsid w:val="00EF3486"/>
    <w:rsid w:val="00EF3618"/>
    <w:rsid w:val="00EF3FD3"/>
    <w:rsid w:val="00EF47AF"/>
    <w:rsid w:val="00EF53B6"/>
    <w:rsid w:val="00EF6D81"/>
    <w:rsid w:val="00EF7382"/>
    <w:rsid w:val="00F00B73"/>
    <w:rsid w:val="00F106F2"/>
    <w:rsid w:val="00F110C3"/>
    <w:rsid w:val="00F115CA"/>
    <w:rsid w:val="00F13FA5"/>
    <w:rsid w:val="00F1421E"/>
    <w:rsid w:val="00F14817"/>
    <w:rsid w:val="00F14EBA"/>
    <w:rsid w:val="00F1510F"/>
    <w:rsid w:val="00F1533A"/>
    <w:rsid w:val="00F15CF0"/>
    <w:rsid w:val="00F15E5A"/>
    <w:rsid w:val="00F17906"/>
    <w:rsid w:val="00F17F0A"/>
    <w:rsid w:val="00F20283"/>
    <w:rsid w:val="00F208F9"/>
    <w:rsid w:val="00F216AE"/>
    <w:rsid w:val="00F23EF6"/>
    <w:rsid w:val="00F2668F"/>
    <w:rsid w:val="00F2714A"/>
    <w:rsid w:val="00F2742F"/>
    <w:rsid w:val="00F2753B"/>
    <w:rsid w:val="00F27A67"/>
    <w:rsid w:val="00F33F8B"/>
    <w:rsid w:val="00F340B2"/>
    <w:rsid w:val="00F34795"/>
    <w:rsid w:val="00F35497"/>
    <w:rsid w:val="00F35C90"/>
    <w:rsid w:val="00F35F0C"/>
    <w:rsid w:val="00F37618"/>
    <w:rsid w:val="00F37E40"/>
    <w:rsid w:val="00F40D01"/>
    <w:rsid w:val="00F43390"/>
    <w:rsid w:val="00F43787"/>
    <w:rsid w:val="00F443B2"/>
    <w:rsid w:val="00F458D8"/>
    <w:rsid w:val="00F459B3"/>
    <w:rsid w:val="00F45EDE"/>
    <w:rsid w:val="00F50237"/>
    <w:rsid w:val="00F5058F"/>
    <w:rsid w:val="00F50D56"/>
    <w:rsid w:val="00F50E2D"/>
    <w:rsid w:val="00F53596"/>
    <w:rsid w:val="00F53E81"/>
    <w:rsid w:val="00F55BA8"/>
    <w:rsid w:val="00F55DB1"/>
    <w:rsid w:val="00F55E0A"/>
    <w:rsid w:val="00F56ACA"/>
    <w:rsid w:val="00F57BA3"/>
    <w:rsid w:val="00F57E50"/>
    <w:rsid w:val="00F57E59"/>
    <w:rsid w:val="00F600FE"/>
    <w:rsid w:val="00F62E4D"/>
    <w:rsid w:val="00F66B34"/>
    <w:rsid w:val="00F67310"/>
    <w:rsid w:val="00F675B9"/>
    <w:rsid w:val="00F67A0A"/>
    <w:rsid w:val="00F711C9"/>
    <w:rsid w:val="00F74C59"/>
    <w:rsid w:val="00F75C3A"/>
    <w:rsid w:val="00F7792E"/>
    <w:rsid w:val="00F82E30"/>
    <w:rsid w:val="00F831CB"/>
    <w:rsid w:val="00F83336"/>
    <w:rsid w:val="00F848A3"/>
    <w:rsid w:val="00F848AC"/>
    <w:rsid w:val="00F84ACF"/>
    <w:rsid w:val="00F85742"/>
    <w:rsid w:val="00F85BF8"/>
    <w:rsid w:val="00F871CE"/>
    <w:rsid w:val="00F87802"/>
    <w:rsid w:val="00F9185B"/>
    <w:rsid w:val="00F92411"/>
    <w:rsid w:val="00F92C0A"/>
    <w:rsid w:val="00F9415B"/>
    <w:rsid w:val="00F96167"/>
    <w:rsid w:val="00F96CD9"/>
    <w:rsid w:val="00FA13C2"/>
    <w:rsid w:val="00FA39DC"/>
    <w:rsid w:val="00FA5B44"/>
    <w:rsid w:val="00FA6F01"/>
    <w:rsid w:val="00FA6FDB"/>
    <w:rsid w:val="00FA78B7"/>
    <w:rsid w:val="00FA7F91"/>
    <w:rsid w:val="00FB121C"/>
    <w:rsid w:val="00FB1CDD"/>
    <w:rsid w:val="00FB1E19"/>
    <w:rsid w:val="00FB1FBF"/>
    <w:rsid w:val="00FB2C2F"/>
    <w:rsid w:val="00FB305C"/>
    <w:rsid w:val="00FB60D1"/>
    <w:rsid w:val="00FB6270"/>
    <w:rsid w:val="00FC2E3D"/>
    <w:rsid w:val="00FC317E"/>
    <w:rsid w:val="00FC333C"/>
    <w:rsid w:val="00FC3BDE"/>
    <w:rsid w:val="00FC42C4"/>
    <w:rsid w:val="00FC6A02"/>
    <w:rsid w:val="00FC7700"/>
    <w:rsid w:val="00FC7D2A"/>
    <w:rsid w:val="00FD1D77"/>
    <w:rsid w:val="00FD1DBE"/>
    <w:rsid w:val="00FD25A7"/>
    <w:rsid w:val="00FD27B6"/>
    <w:rsid w:val="00FD3074"/>
    <w:rsid w:val="00FD3689"/>
    <w:rsid w:val="00FD3906"/>
    <w:rsid w:val="00FD42A3"/>
    <w:rsid w:val="00FD461B"/>
    <w:rsid w:val="00FD5540"/>
    <w:rsid w:val="00FD5952"/>
    <w:rsid w:val="00FD5D3E"/>
    <w:rsid w:val="00FD7468"/>
    <w:rsid w:val="00FD747B"/>
    <w:rsid w:val="00FD7CE0"/>
    <w:rsid w:val="00FE0536"/>
    <w:rsid w:val="00FE0B3B"/>
    <w:rsid w:val="00FE187D"/>
    <w:rsid w:val="00FE1BE2"/>
    <w:rsid w:val="00FE6EC3"/>
    <w:rsid w:val="00FE730A"/>
    <w:rsid w:val="00FF1DD7"/>
    <w:rsid w:val="00FF4453"/>
    <w:rsid w:val="00FF6473"/>
    <w:rsid w:val="00FF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5EE4B"/>
  <w15:docId w15:val="{83D7DBCF-E07E-40A7-8E65-1162DA3D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6E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C1AD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4A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alwar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41E758-D51E-400B-A163-D3E9193F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8</Pages>
  <Words>1971</Words>
  <Characters>13278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Anna Szymańska</dc:creator>
  <cp:lastModifiedBy>Jagielski Piotr</cp:lastModifiedBy>
  <cp:revision>2</cp:revision>
  <cp:lastPrinted>2019-06-05T17:34:00Z</cp:lastPrinted>
  <dcterms:created xsi:type="dcterms:W3CDTF">2025-10-15T07:36:00Z</dcterms:created>
  <dcterms:modified xsi:type="dcterms:W3CDTF">2025-10-15T07:36:00Z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