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57BBE" w14:textId="5B3EAEF0" w:rsidR="00360BB1" w:rsidRPr="00541B24" w:rsidRDefault="00360BB1" w:rsidP="00541B24">
      <w:pPr>
        <w:jc w:val="center"/>
        <w:rPr>
          <w:rStyle w:val="Ppogrubienie"/>
          <w:b w:val="0"/>
          <w:bCs/>
        </w:rPr>
      </w:pPr>
      <w:r w:rsidRPr="00541B24">
        <w:rPr>
          <w:rStyle w:val="Ppogrubienie"/>
          <w:b w:val="0"/>
          <w:bCs/>
        </w:rPr>
        <w:t>UZASADNIENIE</w:t>
      </w:r>
    </w:p>
    <w:p w14:paraId="3CB923F5" w14:textId="77777777" w:rsidR="00360BB1" w:rsidRDefault="00360BB1" w:rsidP="00514482">
      <w:pPr>
        <w:jc w:val="both"/>
      </w:pPr>
    </w:p>
    <w:p w14:paraId="156578D1" w14:textId="0FD2AA39" w:rsidR="004B5042" w:rsidRDefault="00360BB1" w:rsidP="00514482">
      <w:pPr>
        <w:jc w:val="both"/>
      </w:pPr>
      <w:r>
        <w:t>Projekt ustawy zawiera regulacje nowelizujące</w:t>
      </w:r>
      <w:r w:rsidR="004B5042">
        <w:t>:</w:t>
      </w:r>
    </w:p>
    <w:p w14:paraId="25A53244" w14:textId="5B79735E" w:rsidR="00360BB1" w:rsidRDefault="004B5042" w:rsidP="00320B0B">
      <w:pPr>
        <w:pStyle w:val="Akapitzlist"/>
        <w:numPr>
          <w:ilvl w:val="0"/>
          <w:numId w:val="2"/>
        </w:numPr>
        <w:jc w:val="both"/>
      </w:pPr>
      <w:r>
        <w:t xml:space="preserve">ustawę </w:t>
      </w:r>
      <w:r w:rsidRPr="004B5042">
        <w:t>z dnia 11 września 2015 r. o zdrowiu publicznym (Dz. U. z 2024 r. poz. 1670 oraz z 2025 r. poz. 340)</w:t>
      </w:r>
      <w:r w:rsidR="00340078">
        <w:t xml:space="preserve"> – zwaną dalej „ustawą </w:t>
      </w:r>
      <w:r w:rsidR="00340078" w:rsidRPr="00340078">
        <w:t>o zdrowiu publicznym</w:t>
      </w:r>
      <w:r w:rsidR="00340078">
        <w:t>”</w:t>
      </w:r>
      <w:r w:rsidR="00D73F59">
        <w:t>,</w:t>
      </w:r>
    </w:p>
    <w:p w14:paraId="7139C4F6" w14:textId="7C201412" w:rsidR="00D81D68" w:rsidRDefault="00D81D68" w:rsidP="00D81D68">
      <w:pPr>
        <w:pStyle w:val="Akapitzlist"/>
        <w:numPr>
          <w:ilvl w:val="0"/>
          <w:numId w:val="2"/>
        </w:numPr>
        <w:jc w:val="both"/>
      </w:pPr>
      <w:r>
        <w:t>ustawę z dnia 26 lipca 1991 r. o podatku dochodowym od osób fizycznych (Dz. U. z 2025 r. poz. 163, z późn. zm.) – zwaną dalej „ustawą PIT”</w:t>
      </w:r>
      <w:r w:rsidR="00D73F59">
        <w:t>.</w:t>
      </w:r>
    </w:p>
    <w:p w14:paraId="4D862063" w14:textId="7161A962" w:rsidR="00360BB1" w:rsidRDefault="00360BB1" w:rsidP="00514482">
      <w:pPr>
        <w:jc w:val="both"/>
      </w:pPr>
    </w:p>
    <w:p w14:paraId="47A6C8FF" w14:textId="30369EAD" w:rsidR="00D81D68" w:rsidRDefault="00D81D68" w:rsidP="00D81D68">
      <w:pPr>
        <w:jc w:val="both"/>
        <w:rPr>
          <w:rStyle w:val="Ppogrubienie"/>
        </w:rPr>
      </w:pPr>
      <w:r>
        <w:rPr>
          <w:rStyle w:val="Ppogrubienie"/>
        </w:rPr>
        <w:t>Proponowane zmiany w ustawie o zdrowiu publicznym (art. 1)</w:t>
      </w:r>
    </w:p>
    <w:p w14:paraId="2A575AD2" w14:textId="77777777" w:rsidR="0039120F" w:rsidRDefault="0039120F" w:rsidP="00D81D68">
      <w:pPr>
        <w:widowControl/>
        <w:jc w:val="both"/>
        <w:rPr>
          <w:rFonts w:cs="Times New Roman"/>
          <w:szCs w:val="24"/>
        </w:rPr>
      </w:pPr>
    </w:p>
    <w:p w14:paraId="6479C8E2" w14:textId="2DA96D65" w:rsidR="00D81D68" w:rsidRPr="0001382F" w:rsidRDefault="00D81D68" w:rsidP="00D81D68">
      <w:pPr>
        <w:widowControl/>
        <w:jc w:val="both"/>
        <w:rPr>
          <w:rFonts w:cs="Times New Roman"/>
          <w:szCs w:val="24"/>
        </w:rPr>
      </w:pPr>
      <w:r>
        <w:rPr>
          <w:rFonts w:cs="Times New Roman"/>
          <w:szCs w:val="24"/>
        </w:rPr>
        <w:t xml:space="preserve">Zmiany proponowane w art. 12f </w:t>
      </w:r>
      <w:r w:rsidR="00340078" w:rsidRPr="00340078">
        <w:rPr>
          <w:rFonts w:cs="Times New Roman"/>
          <w:szCs w:val="24"/>
        </w:rPr>
        <w:t>ustaw</w:t>
      </w:r>
      <w:r w:rsidR="00340078">
        <w:rPr>
          <w:rFonts w:cs="Times New Roman"/>
          <w:szCs w:val="24"/>
        </w:rPr>
        <w:t>y</w:t>
      </w:r>
      <w:r w:rsidR="00340078" w:rsidRPr="00340078">
        <w:rPr>
          <w:rFonts w:cs="Times New Roman"/>
          <w:szCs w:val="24"/>
        </w:rPr>
        <w:t xml:space="preserve"> o zdrowiu publicznym </w:t>
      </w:r>
      <w:r>
        <w:rPr>
          <w:rFonts w:cs="Times New Roman"/>
          <w:szCs w:val="24"/>
        </w:rPr>
        <w:t xml:space="preserve">powinny umożliwić bardziej skuteczną realizację celu, jaki przyświecał wprowadzeniu opłaty od środków spożywczych, tj. stymulowania prozdrowotnych wyborów konsumenckich, poprzez ograniczenie dostępności ekonomicznej napojów słodzonych. </w:t>
      </w:r>
      <w:r w:rsidRPr="0001382F">
        <w:rPr>
          <w:rFonts w:cs="Times New Roman"/>
          <w:szCs w:val="24"/>
        </w:rPr>
        <w:t>Nadmierne korzystanie z łatwo dostępnych i słodkich produktów żywnościowych powoduje realne koszty związane z leczeniem chorób takich jak cukrzyca, choroby układu krążenia oraz szereg innych bezpośrednio związanych z chorobą otyłości</w:t>
      </w:r>
      <w:r>
        <w:rPr>
          <w:rFonts w:cs="Times New Roman"/>
          <w:szCs w:val="24"/>
        </w:rPr>
        <w:t>ową</w:t>
      </w:r>
      <w:r w:rsidR="002A701A">
        <w:rPr>
          <w:rFonts w:cs="Times New Roman"/>
          <w:szCs w:val="24"/>
        </w:rPr>
        <w:t>.</w:t>
      </w:r>
    </w:p>
    <w:p w14:paraId="2F1C75AC" w14:textId="3A722964" w:rsidR="00D81D68" w:rsidRDefault="00D81D68" w:rsidP="00D81D68">
      <w:pPr>
        <w:widowControl/>
        <w:jc w:val="both"/>
        <w:rPr>
          <w:rFonts w:cs="Times New Roman"/>
          <w:szCs w:val="24"/>
        </w:rPr>
      </w:pPr>
      <w:r w:rsidRPr="0001382F">
        <w:rPr>
          <w:rFonts w:cs="Times New Roman"/>
          <w:szCs w:val="24"/>
        </w:rPr>
        <w:t>Zgodnie z raportem N</w:t>
      </w:r>
      <w:r>
        <w:rPr>
          <w:rFonts w:cs="Times New Roman"/>
          <w:szCs w:val="24"/>
        </w:rPr>
        <w:t xml:space="preserve">ajwyższej </w:t>
      </w:r>
      <w:r w:rsidRPr="0001382F">
        <w:rPr>
          <w:rFonts w:cs="Times New Roman"/>
          <w:szCs w:val="24"/>
        </w:rPr>
        <w:t>I</w:t>
      </w:r>
      <w:r>
        <w:rPr>
          <w:rFonts w:cs="Times New Roman"/>
          <w:szCs w:val="24"/>
        </w:rPr>
        <w:t xml:space="preserve">zby </w:t>
      </w:r>
      <w:r w:rsidRPr="0001382F">
        <w:rPr>
          <w:rFonts w:cs="Times New Roman"/>
          <w:szCs w:val="24"/>
        </w:rPr>
        <w:t>K</w:t>
      </w:r>
      <w:r>
        <w:rPr>
          <w:rFonts w:cs="Times New Roman"/>
          <w:szCs w:val="24"/>
        </w:rPr>
        <w:t>ontroli (NIK)</w:t>
      </w:r>
      <w:r w:rsidRPr="0001382F">
        <w:rPr>
          <w:rFonts w:cs="Times New Roman"/>
          <w:szCs w:val="24"/>
        </w:rPr>
        <w:t>,</w:t>
      </w:r>
      <w:r>
        <w:rPr>
          <w:rFonts w:cs="Times New Roman"/>
          <w:szCs w:val="24"/>
        </w:rPr>
        <w:t xml:space="preserve"> </w:t>
      </w:r>
      <w:r w:rsidRPr="0001382F">
        <w:rPr>
          <w:rFonts w:cs="Times New Roman"/>
          <w:szCs w:val="24"/>
        </w:rPr>
        <w:t>Polacy tyją w zastraszającym tempie</w:t>
      </w:r>
      <w:r>
        <w:rPr>
          <w:rFonts w:cs="Times New Roman"/>
          <w:szCs w:val="24"/>
        </w:rPr>
        <w:t xml:space="preserve">. </w:t>
      </w:r>
      <w:r>
        <w:rPr>
          <w:rFonts w:cs="Times New Roman"/>
          <w:szCs w:val="24"/>
        </w:rPr>
        <w:br/>
        <w:t>W</w:t>
      </w:r>
      <w:r w:rsidRPr="0001382F">
        <w:rPr>
          <w:rFonts w:cs="Times New Roman"/>
          <w:szCs w:val="24"/>
        </w:rPr>
        <w:t xml:space="preserve"> Polsce na otyłość choruje ok. 9 mln dorosłych osób.</w:t>
      </w:r>
      <w:r>
        <w:rPr>
          <w:rFonts w:cs="Times New Roman"/>
          <w:szCs w:val="24"/>
        </w:rPr>
        <w:t xml:space="preserve"> W</w:t>
      </w:r>
      <w:r w:rsidRPr="0001382F">
        <w:rPr>
          <w:rFonts w:cs="Times New Roman"/>
          <w:szCs w:val="24"/>
        </w:rPr>
        <w:t xml:space="preserve"> latach 2020</w:t>
      </w:r>
      <w:r w:rsidR="0039120F">
        <w:rPr>
          <w:rFonts w:cs="Times New Roman"/>
          <w:szCs w:val="24"/>
        </w:rPr>
        <w:t>–</w:t>
      </w:r>
      <w:r w:rsidRPr="0001382F">
        <w:rPr>
          <w:rFonts w:cs="Times New Roman"/>
          <w:szCs w:val="24"/>
        </w:rPr>
        <w:t xml:space="preserve">2022 z tego powodu w naszym kraju było leczonych prawie 800 tys. pacjentów, którym udzielono łącznie 2,2 mln świadczeń. W ciągu trzech lat objętych kontrolą </w:t>
      </w:r>
      <w:r>
        <w:rPr>
          <w:rFonts w:cs="Times New Roman"/>
          <w:szCs w:val="24"/>
        </w:rPr>
        <w:t xml:space="preserve">NIK </w:t>
      </w:r>
      <w:r w:rsidRPr="0001382F">
        <w:rPr>
          <w:rFonts w:cs="Times New Roman"/>
          <w:szCs w:val="24"/>
        </w:rPr>
        <w:t>liczba pacjentów zwiększyła się o połowę. O ponad 40% wzrosła liczba świadczeń udzielonych z powodu choroby otyłościowej. Udzielono ponad pół miliona świadczeń, w których otyłość była rozpoznaniem głównym</w:t>
      </w:r>
      <w:r w:rsidR="0039120F">
        <w:rPr>
          <w:rFonts w:cs="Times New Roman"/>
          <w:szCs w:val="24"/>
        </w:rPr>
        <w:t>,</w:t>
      </w:r>
      <w:r w:rsidRPr="0001382F">
        <w:rPr>
          <w:rFonts w:cs="Times New Roman"/>
          <w:szCs w:val="24"/>
        </w:rPr>
        <w:t xml:space="preserve"> oraz ponad trzykrotnie więcej, gdzie była rozpoznaniem współistniejącym.</w:t>
      </w:r>
    </w:p>
    <w:p w14:paraId="71DB0CB7" w14:textId="77777777" w:rsidR="00D81D68" w:rsidRPr="0001382F" w:rsidRDefault="00D81D68" w:rsidP="00D81D68">
      <w:pPr>
        <w:widowControl/>
        <w:jc w:val="both"/>
        <w:rPr>
          <w:rFonts w:cs="Times New Roman"/>
          <w:szCs w:val="24"/>
        </w:rPr>
      </w:pPr>
      <w:r w:rsidRPr="0001382F">
        <w:rPr>
          <w:rFonts w:cs="Times New Roman"/>
          <w:szCs w:val="24"/>
        </w:rPr>
        <w:t xml:space="preserve">Według danych OECD, do 2050 r. przez choroby związane z otyłością Polacy będą żyć o blisko 4 lata krócej. Według szacunków OECD w ciągu 30 lat z powodu chorób wywołanych otyłością Polska straci ok. 108 mld zł (4,1% PKB), tj. średnio ok. 3,6 mld zł rocznie (ok. 0,14% PKB). </w:t>
      </w:r>
    </w:p>
    <w:p w14:paraId="7B83C263" w14:textId="4022449E" w:rsidR="00D81D68" w:rsidRPr="0001382F" w:rsidRDefault="00D81D68" w:rsidP="00D81D68">
      <w:pPr>
        <w:widowControl/>
        <w:jc w:val="both"/>
        <w:rPr>
          <w:rFonts w:cs="Times New Roman"/>
          <w:szCs w:val="24"/>
        </w:rPr>
      </w:pPr>
      <w:r w:rsidRPr="0001382F">
        <w:rPr>
          <w:rFonts w:cs="Times New Roman"/>
          <w:szCs w:val="24"/>
        </w:rPr>
        <w:t>Wspieranie działań, które mogą realnie przyczynić się do ograniczenia środków wydatkowanych na leczenie</w:t>
      </w:r>
      <w:r w:rsidR="0039120F">
        <w:rPr>
          <w:rFonts w:cs="Times New Roman"/>
          <w:szCs w:val="24"/>
        </w:rPr>
        <w:t>,</w:t>
      </w:r>
      <w:r w:rsidRPr="0001382F">
        <w:rPr>
          <w:rFonts w:cs="Times New Roman"/>
          <w:szCs w:val="24"/>
        </w:rPr>
        <w:t xml:space="preserve"> </w:t>
      </w:r>
      <w:r>
        <w:rPr>
          <w:rFonts w:cs="Times New Roman"/>
          <w:szCs w:val="24"/>
        </w:rPr>
        <w:t>stanowi zarówno</w:t>
      </w:r>
      <w:r w:rsidRPr="0001382F">
        <w:rPr>
          <w:rFonts w:cs="Times New Roman"/>
          <w:szCs w:val="24"/>
        </w:rPr>
        <w:t xml:space="preserve"> inwestycj</w:t>
      </w:r>
      <w:r>
        <w:rPr>
          <w:rFonts w:cs="Times New Roman"/>
          <w:szCs w:val="24"/>
        </w:rPr>
        <w:t>ę</w:t>
      </w:r>
      <w:r w:rsidRPr="0001382F">
        <w:rPr>
          <w:rFonts w:cs="Times New Roman"/>
          <w:szCs w:val="24"/>
        </w:rPr>
        <w:t xml:space="preserve"> w zdrowie</w:t>
      </w:r>
      <w:r>
        <w:rPr>
          <w:rFonts w:cs="Times New Roman"/>
          <w:szCs w:val="24"/>
        </w:rPr>
        <w:t xml:space="preserve"> Polaków</w:t>
      </w:r>
      <w:r w:rsidRPr="0001382F">
        <w:rPr>
          <w:rFonts w:cs="Times New Roman"/>
          <w:szCs w:val="24"/>
        </w:rPr>
        <w:t xml:space="preserve">, </w:t>
      </w:r>
      <w:r>
        <w:rPr>
          <w:rFonts w:cs="Times New Roman"/>
          <w:szCs w:val="24"/>
        </w:rPr>
        <w:t>jak</w:t>
      </w:r>
      <w:r w:rsidRPr="0001382F">
        <w:rPr>
          <w:rFonts w:cs="Times New Roman"/>
          <w:szCs w:val="24"/>
        </w:rPr>
        <w:t xml:space="preserve"> </w:t>
      </w:r>
      <w:r>
        <w:rPr>
          <w:rFonts w:cs="Times New Roman"/>
          <w:szCs w:val="24"/>
        </w:rPr>
        <w:t>i</w:t>
      </w:r>
      <w:r w:rsidRPr="0001382F">
        <w:rPr>
          <w:rFonts w:cs="Times New Roman"/>
          <w:szCs w:val="24"/>
        </w:rPr>
        <w:t xml:space="preserve"> ochron</w:t>
      </w:r>
      <w:r>
        <w:rPr>
          <w:rFonts w:cs="Times New Roman"/>
          <w:szCs w:val="24"/>
        </w:rPr>
        <w:t>ę</w:t>
      </w:r>
      <w:r w:rsidRPr="0001382F">
        <w:rPr>
          <w:rFonts w:cs="Times New Roman"/>
          <w:szCs w:val="24"/>
        </w:rPr>
        <w:t xml:space="preserve"> budżetu państwa.</w:t>
      </w:r>
    </w:p>
    <w:p w14:paraId="08C53E30" w14:textId="57AD5FDF" w:rsidR="00D81D68" w:rsidRDefault="00D81D68" w:rsidP="00D81D68">
      <w:pPr>
        <w:widowControl/>
        <w:jc w:val="both"/>
        <w:rPr>
          <w:rFonts w:cs="Times New Roman"/>
          <w:szCs w:val="24"/>
        </w:rPr>
      </w:pPr>
      <w:r w:rsidRPr="0001382F">
        <w:rPr>
          <w:rFonts w:cs="Times New Roman"/>
          <w:szCs w:val="24"/>
        </w:rPr>
        <w:t>Obok działań edukacyjnych czy też prawnych (takich jak np. zmiany w etykietowaniu żywności lub regulowanie reklamowania niezdrowej żywności dzieciom), kluczowym narzędziem w kształtowaniu prozdrowotnych zachowań konsumentów jest ograniczenie dostępności</w:t>
      </w:r>
      <w:r>
        <w:rPr>
          <w:rFonts w:cs="Times New Roman"/>
          <w:szCs w:val="24"/>
        </w:rPr>
        <w:t xml:space="preserve"> </w:t>
      </w:r>
      <w:r w:rsidRPr="0001382F">
        <w:rPr>
          <w:rFonts w:cs="Times New Roman"/>
          <w:szCs w:val="24"/>
        </w:rPr>
        <w:t>ekonomicznej niezdrowej żywności. Do takiej niewątpliwie zalicza się słodkie napoje.</w:t>
      </w:r>
      <w:r>
        <w:rPr>
          <w:rFonts w:cs="Times New Roman"/>
          <w:szCs w:val="24"/>
        </w:rPr>
        <w:t xml:space="preserve"> </w:t>
      </w:r>
    </w:p>
    <w:p w14:paraId="11EF7269" w14:textId="77777777" w:rsidR="00D81D68" w:rsidRDefault="00D81D68" w:rsidP="00D81D68">
      <w:pPr>
        <w:widowControl/>
        <w:jc w:val="both"/>
        <w:rPr>
          <w:rFonts w:cs="Times New Roman"/>
          <w:szCs w:val="24"/>
        </w:rPr>
      </w:pPr>
      <w:r w:rsidRPr="004B5042">
        <w:rPr>
          <w:rFonts w:cs="Times New Roman"/>
          <w:szCs w:val="24"/>
        </w:rPr>
        <w:lastRenderedPageBreak/>
        <w:t>Obowiązująca wysokość opłaty została przyjęta w 202</w:t>
      </w:r>
      <w:r>
        <w:rPr>
          <w:rFonts w:cs="Times New Roman"/>
          <w:szCs w:val="24"/>
        </w:rPr>
        <w:t>1</w:t>
      </w:r>
      <w:r w:rsidRPr="004B5042">
        <w:rPr>
          <w:rFonts w:cs="Times New Roman"/>
          <w:szCs w:val="24"/>
        </w:rPr>
        <w:t xml:space="preserve"> r. i znacząco odbiega od aktualnych cen napojów. Tym samym, jest niewystarczająca, aby wpłynąć na zachowania konsumentów oraz realizować cele zdrowotne przyjęte przy wprowadzaniu opłaty. Według danych dotyczących sprzedaży napojów, w pierwszym roku obowiązywania opłaty nastąpił spadek sprzedaży napojów gazowanych o 19%, jednakże w kolejnych latach wielkość sprzedaży tych napojów powróciła do poziomu sprzed wprowadzenia opłaty. Niski udział opłaty „cukrowej” w cenie napoju zwiększa ich dostępność cenową. W napoju typu „cola” o pojemności 330 ml, którego aktualna cena wynosi ok. 4,20 zł, należna opłata od środków spożywczych to zaledwie 0,30 zł. Z kolei wysokość należnej opłaty od napoju energetycznego o pojemności 250ml, zawierającego 11g cukru oraz kofeinę i taurynę, to zaledwie 0,23 zł, podczas gdy cena tego napoju to ok. 4,99 zł.</w:t>
      </w:r>
    </w:p>
    <w:p w14:paraId="2A04D7C0" w14:textId="77777777" w:rsidR="00D81D68" w:rsidRDefault="00D81D68" w:rsidP="00D81D68">
      <w:pPr>
        <w:widowControl/>
        <w:jc w:val="both"/>
        <w:rPr>
          <w:rFonts w:cs="Times New Roman"/>
          <w:szCs w:val="24"/>
        </w:rPr>
      </w:pPr>
      <w:r w:rsidRPr="004B5042">
        <w:rPr>
          <w:rFonts w:cs="Times New Roman"/>
          <w:szCs w:val="24"/>
        </w:rPr>
        <w:t>Zgodnie z zaleceniami dotyczącymi projektowania podatków behawioralnych, ich skuteczność uzależniona jest w szczególności od wysokości stawek podatkowych. Stawki podatkowe nie powinny być bardzo niskie, ponieważ wynikająca z tego zmiana w zachowaniach konsumentów i związane z nią korzyści zdrowotne mogą być zbyt małe, aby je zidentyfikować. W przypadku niskich poziomów opodatkowania dodatkowe koszty przestrzegania przepisów dla firm i organów podatkowych są trudne do uzasadnienia.</w:t>
      </w:r>
    </w:p>
    <w:p w14:paraId="16D59DAB" w14:textId="77777777" w:rsidR="00D81D68" w:rsidRDefault="00D81D68" w:rsidP="00D81D68">
      <w:pPr>
        <w:widowControl/>
        <w:jc w:val="both"/>
        <w:rPr>
          <w:rFonts w:cs="Times New Roman"/>
          <w:szCs w:val="24"/>
        </w:rPr>
      </w:pPr>
      <w:r w:rsidRPr="0001382F">
        <w:rPr>
          <w:rFonts w:cs="Times New Roman"/>
          <w:szCs w:val="24"/>
        </w:rPr>
        <w:t xml:space="preserve">W </w:t>
      </w:r>
      <w:r w:rsidRPr="00320B0B">
        <w:rPr>
          <w:rFonts w:cs="Times New Roman"/>
          <w:b/>
          <w:bCs/>
          <w:szCs w:val="24"/>
        </w:rPr>
        <w:t>ust. 1</w:t>
      </w:r>
      <w:r w:rsidRPr="0001382F">
        <w:rPr>
          <w:rFonts w:cs="Times New Roman"/>
          <w:szCs w:val="24"/>
        </w:rPr>
        <w:t xml:space="preserve"> zaproponowano </w:t>
      </w:r>
      <w:r>
        <w:rPr>
          <w:rFonts w:cs="Times New Roman"/>
          <w:szCs w:val="24"/>
        </w:rPr>
        <w:t xml:space="preserve">zatem </w:t>
      </w:r>
      <w:r w:rsidRPr="0001382F">
        <w:rPr>
          <w:rFonts w:cs="Times New Roman"/>
          <w:szCs w:val="24"/>
        </w:rPr>
        <w:t>podwyższenie wysokości opłaty stałej i zmiennej za z</w:t>
      </w:r>
      <w:r>
        <w:rPr>
          <w:rFonts w:cs="Times New Roman"/>
          <w:szCs w:val="24"/>
        </w:rPr>
        <w:t>a</w:t>
      </w:r>
      <w:r w:rsidRPr="0001382F">
        <w:rPr>
          <w:rFonts w:cs="Times New Roman"/>
          <w:szCs w:val="24"/>
        </w:rPr>
        <w:t>wartość cukrów lub słodzików w napoju</w:t>
      </w:r>
      <w:r>
        <w:rPr>
          <w:rFonts w:cs="Times New Roman"/>
          <w:szCs w:val="24"/>
        </w:rPr>
        <w:t>:</w:t>
      </w:r>
    </w:p>
    <w:p w14:paraId="1C0E7673" w14:textId="3143D21E" w:rsidR="00D81D68" w:rsidRDefault="00D81D68" w:rsidP="00D81D68">
      <w:pPr>
        <w:pStyle w:val="Akapitzlist"/>
        <w:widowControl/>
        <w:numPr>
          <w:ilvl w:val="0"/>
          <w:numId w:val="1"/>
        </w:numPr>
        <w:jc w:val="both"/>
        <w:rPr>
          <w:rFonts w:cs="Times New Roman"/>
          <w:szCs w:val="24"/>
        </w:rPr>
      </w:pPr>
      <w:r>
        <w:rPr>
          <w:rFonts w:cs="Times New Roman"/>
          <w:szCs w:val="24"/>
        </w:rPr>
        <w:t xml:space="preserve">z 0,50 zł do 0,70 zł – za zawartość </w:t>
      </w:r>
      <w:r w:rsidRPr="00283141">
        <w:rPr>
          <w:rFonts w:cs="Times New Roman"/>
          <w:szCs w:val="24"/>
        </w:rPr>
        <w:t>cukrów w ilości równej lub mniejszej niż 5g w 100 ml napoju lub za zawartość w jakiejkolwiek ilości co najmniej jednej z substancji słodzących</w:t>
      </w:r>
      <w:r>
        <w:rPr>
          <w:rFonts w:cs="Times New Roman"/>
          <w:szCs w:val="24"/>
        </w:rPr>
        <w:t>,</w:t>
      </w:r>
    </w:p>
    <w:p w14:paraId="71E2DEA2" w14:textId="77777777" w:rsidR="00D81D68" w:rsidRDefault="00D81D68" w:rsidP="00D81D68">
      <w:pPr>
        <w:pStyle w:val="Akapitzlist"/>
        <w:widowControl/>
        <w:numPr>
          <w:ilvl w:val="0"/>
          <w:numId w:val="1"/>
        </w:numPr>
        <w:jc w:val="both"/>
        <w:rPr>
          <w:rFonts w:cs="Times New Roman"/>
          <w:szCs w:val="24"/>
        </w:rPr>
      </w:pPr>
      <w:r>
        <w:rPr>
          <w:rFonts w:cs="Times New Roman"/>
          <w:szCs w:val="24"/>
        </w:rPr>
        <w:t xml:space="preserve">z 0,05 zł do </w:t>
      </w:r>
      <w:r w:rsidRPr="00283141">
        <w:rPr>
          <w:rFonts w:cs="Times New Roman"/>
          <w:szCs w:val="24"/>
        </w:rPr>
        <w:t xml:space="preserve">0,10 zł </w:t>
      </w:r>
      <w:r>
        <w:rPr>
          <w:rFonts w:cs="Times New Roman"/>
          <w:szCs w:val="24"/>
        </w:rPr>
        <w:t xml:space="preserve">– </w:t>
      </w:r>
      <w:r w:rsidRPr="00283141">
        <w:rPr>
          <w:rFonts w:cs="Times New Roman"/>
          <w:szCs w:val="24"/>
        </w:rPr>
        <w:t>za</w:t>
      </w:r>
      <w:r>
        <w:rPr>
          <w:rFonts w:cs="Times New Roman"/>
          <w:szCs w:val="24"/>
        </w:rPr>
        <w:t xml:space="preserve"> </w:t>
      </w:r>
      <w:r w:rsidRPr="00283141">
        <w:rPr>
          <w:rFonts w:cs="Times New Roman"/>
          <w:szCs w:val="24"/>
        </w:rPr>
        <w:t>każdy gram cukrów powyżej 5g w 100 ml napoju</w:t>
      </w:r>
      <w:r>
        <w:rPr>
          <w:rFonts w:cs="Times New Roman"/>
          <w:szCs w:val="24"/>
        </w:rPr>
        <w:t>.</w:t>
      </w:r>
    </w:p>
    <w:p w14:paraId="2783EA49" w14:textId="77777777" w:rsidR="00D81D68" w:rsidRDefault="00D81D68" w:rsidP="00D81D68">
      <w:pPr>
        <w:widowControl/>
        <w:jc w:val="both"/>
        <w:rPr>
          <w:rFonts w:cs="Times New Roman"/>
          <w:szCs w:val="24"/>
        </w:rPr>
      </w:pPr>
      <w:r>
        <w:rPr>
          <w:rFonts w:cs="Times New Roman"/>
          <w:szCs w:val="24"/>
        </w:rPr>
        <w:t xml:space="preserve">W projektowanym </w:t>
      </w:r>
      <w:r w:rsidRPr="00320B0B">
        <w:rPr>
          <w:rFonts w:cs="Times New Roman"/>
          <w:b/>
          <w:bCs/>
          <w:szCs w:val="24"/>
        </w:rPr>
        <w:t>ust. 3</w:t>
      </w:r>
      <w:r>
        <w:rPr>
          <w:rFonts w:cs="Times New Roman"/>
          <w:szCs w:val="24"/>
        </w:rPr>
        <w:t xml:space="preserve"> podniesiono wysokość </w:t>
      </w:r>
      <w:r w:rsidRPr="00E6606B">
        <w:rPr>
          <w:rFonts w:cs="Times New Roman"/>
          <w:szCs w:val="24"/>
        </w:rPr>
        <w:t>opłaty stałej za zawartość kofeiny lub tauryny, które występują m.in. w napojach energetycznych</w:t>
      </w:r>
      <w:r>
        <w:rPr>
          <w:rFonts w:cs="Times New Roman"/>
          <w:szCs w:val="24"/>
        </w:rPr>
        <w:t xml:space="preserve">, z 0,10 zł do 1,00 zł. Propozycja ta uwzględnia dodatkowe ryzyko, jakie jest związane ze </w:t>
      </w:r>
      <w:r w:rsidRPr="00321D51">
        <w:rPr>
          <w:rFonts w:cs="Times New Roman"/>
          <w:szCs w:val="24"/>
        </w:rPr>
        <w:t>spożywanie</w:t>
      </w:r>
      <w:r>
        <w:rPr>
          <w:rFonts w:cs="Times New Roman"/>
          <w:szCs w:val="24"/>
        </w:rPr>
        <w:t>m</w:t>
      </w:r>
      <w:r w:rsidRPr="00321D51">
        <w:rPr>
          <w:rFonts w:cs="Times New Roman"/>
          <w:szCs w:val="24"/>
        </w:rPr>
        <w:t xml:space="preserve"> napojów </w:t>
      </w:r>
      <w:r>
        <w:rPr>
          <w:rFonts w:cs="Times New Roman"/>
          <w:szCs w:val="24"/>
        </w:rPr>
        <w:t xml:space="preserve">energetycznych, które zawierają kofeinę lub taurynę. </w:t>
      </w:r>
    </w:p>
    <w:p w14:paraId="0ABFA8B2" w14:textId="77777777" w:rsidR="00D81D68" w:rsidRPr="00320B0B" w:rsidRDefault="00D81D68" w:rsidP="00D81D68">
      <w:pPr>
        <w:widowControl/>
        <w:jc w:val="both"/>
        <w:rPr>
          <w:rFonts w:cs="Times New Roman"/>
          <w:szCs w:val="24"/>
        </w:rPr>
      </w:pPr>
      <w:r w:rsidRPr="00350B74">
        <w:rPr>
          <w:rFonts w:cs="Times New Roman"/>
          <w:szCs w:val="24"/>
        </w:rPr>
        <w:t xml:space="preserve">Zmiana </w:t>
      </w:r>
      <w:r>
        <w:rPr>
          <w:rFonts w:cs="Times New Roman"/>
          <w:szCs w:val="24"/>
        </w:rPr>
        <w:t xml:space="preserve">maksymalnej wysokości opłaty w </w:t>
      </w:r>
      <w:r w:rsidRPr="00350B74">
        <w:rPr>
          <w:rFonts w:cs="Times New Roman"/>
          <w:b/>
          <w:szCs w:val="24"/>
        </w:rPr>
        <w:t xml:space="preserve">ust. 6 </w:t>
      </w:r>
      <w:r w:rsidRPr="00320B0B">
        <w:rPr>
          <w:rFonts w:cs="Times New Roman"/>
          <w:bCs/>
          <w:szCs w:val="24"/>
        </w:rPr>
        <w:t xml:space="preserve">stanowi konsekwencję </w:t>
      </w:r>
      <w:r>
        <w:rPr>
          <w:rFonts w:cs="Times New Roman"/>
          <w:szCs w:val="24"/>
        </w:rPr>
        <w:t xml:space="preserve">zmian przewidzianych w ust. 1 i 3. </w:t>
      </w:r>
    </w:p>
    <w:p w14:paraId="4AAC1B79" w14:textId="506ABDE9" w:rsidR="00D81D68" w:rsidRDefault="00D81D68" w:rsidP="00D81D68">
      <w:pPr>
        <w:jc w:val="both"/>
        <w:rPr>
          <w:rFonts w:cs="Times New Roman"/>
          <w:szCs w:val="24"/>
        </w:rPr>
      </w:pPr>
      <w:r>
        <w:rPr>
          <w:rFonts w:cs="Times New Roman"/>
          <w:szCs w:val="24"/>
        </w:rPr>
        <w:t xml:space="preserve">Proponowane zmiany w zakresie art. 12f </w:t>
      </w:r>
      <w:r w:rsidR="00340078" w:rsidRPr="00340078">
        <w:rPr>
          <w:rFonts w:cs="Times New Roman"/>
          <w:szCs w:val="24"/>
        </w:rPr>
        <w:t>ustaw</w:t>
      </w:r>
      <w:r w:rsidR="00340078">
        <w:rPr>
          <w:rFonts w:cs="Times New Roman"/>
          <w:szCs w:val="24"/>
        </w:rPr>
        <w:t>y</w:t>
      </w:r>
      <w:r w:rsidR="00340078" w:rsidRPr="00340078">
        <w:rPr>
          <w:rFonts w:cs="Times New Roman"/>
          <w:szCs w:val="24"/>
        </w:rPr>
        <w:t xml:space="preserve"> o zdrowiu publicznym </w:t>
      </w:r>
      <w:r w:rsidRPr="0043601A">
        <w:rPr>
          <w:rFonts w:cs="Times New Roman"/>
          <w:szCs w:val="24"/>
        </w:rPr>
        <w:t>realizuj</w:t>
      </w:r>
      <w:r>
        <w:rPr>
          <w:rFonts w:cs="Times New Roman"/>
          <w:szCs w:val="24"/>
        </w:rPr>
        <w:t>ą</w:t>
      </w:r>
      <w:r w:rsidRPr="0043601A">
        <w:rPr>
          <w:rFonts w:cs="Times New Roman"/>
          <w:szCs w:val="24"/>
        </w:rPr>
        <w:t xml:space="preserve"> prozdrowotną politykę fiskalną sprzyjającą walce z</w:t>
      </w:r>
      <w:r>
        <w:rPr>
          <w:rFonts w:cs="Times New Roman"/>
          <w:szCs w:val="24"/>
        </w:rPr>
        <w:t xml:space="preserve"> </w:t>
      </w:r>
      <w:r w:rsidRPr="0043601A">
        <w:rPr>
          <w:rFonts w:cs="Times New Roman"/>
          <w:szCs w:val="24"/>
        </w:rPr>
        <w:t>nadwagą i otyłością w ramach Narodowego Programu Zdrowia na lata 2021–2025.</w:t>
      </w:r>
    </w:p>
    <w:p w14:paraId="2AEB0241" w14:textId="77777777" w:rsidR="00D1357E" w:rsidRDefault="00D1357E" w:rsidP="00514482">
      <w:pPr>
        <w:jc w:val="both"/>
        <w:rPr>
          <w:rStyle w:val="Ppogrubienie"/>
        </w:rPr>
      </w:pPr>
    </w:p>
    <w:p w14:paraId="7ADF62CE" w14:textId="11E09627" w:rsidR="00360BB1" w:rsidRDefault="00360BB1" w:rsidP="00541B24">
      <w:pPr>
        <w:keepNext/>
        <w:keepLines/>
        <w:jc w:val="both"/>
        <w:rPr>
          <w:rStyle w:val="Ppogrubienie"/>
        </w:rPr>
      </w:pPr>
      <w:r>
        <w:rPr>
          <w:rStyle w:val="Ppogrubienie"/>
        </w:rPr>
        <w:lastRenderedPageBreak/>
        <w:t xml:space="preserve">Proponowane zmiany w ustawie o podatku dochodowym od osób fizycznych (art. </w:t>
      </w:r>
      <w:r w:rsidR="00D81D68">
        <w:rPr>
          <w:rStyle w:val="Ppogrubienie"/>
        </w:rPr>
        <w:t>2</w:t>
      </w:r>
      <w:r>
        <w:rPr>
          <w:rStyle w:val="Ppogrubienie"/>
        </w:rPr>
        <w:t>)</w:t>
      </w:r>
    </w:p>
    <w:p w14:paraId="66DE8327" w14:textId="0B038753" w:rsidR="00360BB1" w:rsidRDefault="00360BB1" w:rsidP="00541B24">
      <w:pPr>
        <w:keepNext/>
        <w:keepLines/>
        <w:jc w:val="both"/>
      </w:pPr>
    </w:p>
    <w:p w14:paraId="015A5500" w14:textId="6FED140E" w:rsidR="00360BB1" w:rsidRDefault="00360BB1" w:rsidP="00514482">
      <w:pPr>
        <w:jc w:val="both"/>
      </w:pPr>
      <w:r>
        <w:t>Zgodnie z art. 30 ust. 1 pkt 2 ustawy PIT, od dochodów (przychodów) z tytułu wygranych w konkursach, grach i zakładach wzajemnych lub nagród związanych ze sprzedażą premiową, uzyskanych w państwie członkowskim Unii Europejskiej lub innym państwie należącym do Europejskiego Obszaru Gospodarczego</w:t>
      </w:r>
      <w:r w:rsidR="0039120F">
        <w:t>,</w:t>
      </w:r>
      <w:r>
        <w:t xml:space="preserve"> pobiera się zryczałtowany podatek dochodowy w wysokości 10% wygranej lub nagrody. W związku z powyższym podmiot przekazujący wygraną (organizator konkursu/gry/promocji) pobiera i odprowadza do właściwego urzędu skarbowego 10% </w:t>
      </w:r>
      <w:r w:rsidR="008A6805">
        <w:t>podatku</w:t>
      </w:r>
      <w:r>
        <w:t xml:space="preserve"> od wygranej lub nagrody. W takim przypadku wygrywający nie ma obowiązku deklarowania przychodu z tytułu wygranej w rocznym zeznaniu podatkowym.</w:t>
      </w:r>
    </w:p>
    <w:p w14:paraId="017B8EB6" w14:textId="4586974E" w:rsidR="00360BB1" w:rsidRDefault="00360BB1" w:rsidP="00514482">
      <w:pPr>
        <w:jc w:val="both"/>
      </w:pPr>
      <w:bookmarkStart w:id="0" w:name="_Hlk206567771"/>
      <w:r>
        <w:t>Jednocześnie zgodnie z ustawą PIT (art. 21 ust. 1 pkt 6a</w:t>
      </w:r>
      <w:r w:rsidR="008A6805">
        <w:t>)</w:t>
      </w:r>
      <w:r>
        <w:t xml:space="preserve"> zwolnione z podatku są wygrane w:</w:t>
      </w:r>
    </w:p>
    <w:p w14:paraId="7C1E87F3" w14:textId="69FD6E06" w:rsidR="00360BB1" w:rsidRDefault="00360BB1" w:rsidP="00514482">
      <w:pPr>
        <w:jc w:val="both"/>
      </w:pPr>
      <w:r>
        <w:t xml:space="preserve">1) grach liczbowych, loteriach pieniężnych, grze telebingo, zakładach wzajemnych, loteriach promocyjnych, loteriach audioteksowych i loteriach fantowych, jeżeli jednorazowa wartość tych wygranych nie przekracza 2280 zł, </w:t>
      </w:r>
    </w:p>
    <w:p w14:paraId="3A526495" w14:textId="431659D1" w:rsidR="00360BB1" w:rsidRDefault="00360BB1" w:rsidP="00514482">
      <w:pPr>
        <w:jc w:val="both"/>
      </w:pPr>
      <w:r>
        <w:t xml:space="preserve">2) grach na automatach, grach w karty, grach w kości, grach cylindrycznych, grach bingo pieniężne i grach bingo fantowe </w:t>
      </w:r>
    </w:p>
    <w:bookmarkEnd w:id="0"/>
    <w:p w14:paraId="05E977A2" w14:textId="3A6EAA03" w:rsidR="00360BB1" w:rsidRDefault="00360BB1" w:rsidP="00514482">
      <w:pPr>
        <w:jc w:val="both"/>
      </w:pPr>
      <w:r>
        <w:t>– urządzanych i prowadzonych przez uprawniony podmiot na podstawie przepisów o grach hazardowych obowiązujących w państwie członkowskim Unii Europejskiej lub w innym państwie należącym do Europejskiego Obszaru Gospodarczego.</w:t>
      </w:r>
    </w:p>
    <w:p w14:paraId="689F2A9C" w14:textId="427CF634" w:rsidR="00360BB1" w:rsidRDefault="00360BB1" w:rsidP="00514482">
      <w:pPr>
        <w:jc w:val="both"/>
      </w:pPr>
    </w:p>
    <w:p w14:paraId="3D329BAE" w14:textId="75275EA2" w:rsidR="00360BB1" w:rsidRDefault="00360BB1" w:rsidP="00514482">
      <w:pPr>
        <w:jc w:val="both"/>
      </w:pPr>
      <w:r>
        <w:t>Dodatkowo ustawa PIT (art. 21 ust. 1 pkt 68) przewiduje zwolnienie z podatku od wygranych i nagród w przypadku</w:t>
      </w:r>
      <w:r w:rsidR="0039120F">
        <w:t>,</w:t>
      </w:r>
      <w:r>
        <w:t xml:space="preserve"> gdy jednorazowa wartość wygranych w konkursach i grach organizowanych i emitowanych (ogłaszanych) przez środki masowego przekazu (prasa, radio i telewizja) oraz konkursach z dziedziny nauki, kultury, sztuki, dziennikarstwa i sportu, a także nagród związanych ze sprzedażą premiową towarów lub usług nie przekracza 2000 zł. Zwolnienie od podatku nagród związanych ze sprzedażą premiową towarów lub usług nie dotyczy nagród otrzymanych przez podatnika w związku z prowadzoną przez niego pozarolniczą działalnością gospodarczą, stanowiących przychód z tej działalności.</w:t>
      </w:r>
    </w:p>
    <w:p w14:paraId="598B4976" w14:textId="64E16620" w:rsidR="00360BB1" w:rsidRDefault="00360BB1" w:rsidP="00514482">
      <w:pPr>
        <w:jc w:val="both"/>
      </w:pPr>
      <w:r>
        <w:t xml:space="preserve">W ramach rekomendowanego rozwiązania planuje się zwiększenie stawki zryczałtowanego podatku z tytułu wygranych w konkursach, grach i zakładach wzajemnych lub nagród związanych ze sprzedażą premiową z 10% do 15%. Za podwyższeniem stawki podatku przemawia fakt, że obecna stawka (10%) jest relatywnie niska na tle obciążeń dochodów/przychodów z innych tytułów. Jednocześnie przychody objęte tym podatkiem mają wyjątkowy i incydentalny charakter, a ponadto nie należą do podstawowych źródeł przychodów </w:t>
      </w:r>
      <w:r>
        <w:lastRenderedPageBreak/>
        <w:t>osiąganych przez podatników podatku PIT, wpływających na aktywności, które państwo powinno wspierać. Nie ma tym samym uzasadnienia aksjologicznego do stosowania wobec nich tak niskiej stawki. Z uwagi na incydentalny charakter omawianego podatku podwyższenie stawki nie wpłynie negatywnie na dochody gospodarstw domowych.</w:t>
      </w:r>
    </w:p>
    <w:p w14:paraId="4F8E193F" w14:textId="7D30D140" w:rsidR="00360BB1" w:rsidRDefault="00360BB1" w:rsidP="00514482">
      <w:pPr>
        <w:jc w:val="both"/>
      </w:pPr>
      <w:r>
        <w:t>Celem proponowanej zmiany w ustawie PIT jest zwiększenie wpływów z tego podatku. Ze względu na objęcie Polski procedurą nadmiernego deficytu od 2024 r. polski rząd zobowiązał się do obniżenia w ciągu czterech lat deficytu budżetowego do poziomu 3 proc. PKB, odpowiednio do utrzymania długu publicznego na referencyjnym poziomie nieprzekraczającym 60% PKP. Bez stabilnych finansów publicznych Polski oraz pozostałych państw członkowskich Unii Europejskiej trudno jest zagwarantować bezpieczeństwo regionu. Niezbędne jest zatem szukanie rozwiązań zwiększających dochody państwa, które pozwolą na swobodne realizowanie m.in. wysokich niezbędnych wydatków militarnych.</w:t>
      </w:r>
    </w:p>
    <w:p w14:paraId="27CD5E3D" w14:textId="77777777" w:rsidR="004B5042" w:rsidRDefault="004B5042" w:rsidP="00ED7528">
      <w:pPr>
        <w:jc w:val="both"/>
        <w:rPr>
          <w:rStyle w:val="Ppogrubienie"/>
        </w:rPr>
      </w:pPr>
    </w:p>
    <w:p w14:paraId="65053207" w14:textId="02666F4E" w:rsidR="00F83D9D" w:rsidRDefault="00360BB1" w:rsidP="00514482">
      <w:pPr>
        <w:jc w:val="both"/>
        <w:rPr>
          <w:rStyle w:val="Ppogrubienie"/>
        </w:rPr>
      </w:pPr>
      <w:r>
        <w:rPr>
          <w:rStyle w:val="Ppogrubienie"/>
        </w:rPr>
        <w:t xml:space="preserve">Wejście w życie proponowanych zmian (art. </w:t>
      </w:r>
      <w:r w:rsidR="00D81D68">
        <w:rPr>
          <w:rStyle w:val="Ppogrubienie"/>
        </w:rPr>
        <w:t>3</w:t>
      </w:r>
      <w:r>
        <w:rPr>
          <w:rStyle w:val="Ppogrubienie"/>
        </w:rPr>
        <w:t>)</w:t>
      </w:r>
    </w:p>
    <w:p w14:paraId="7291C3DC" w14:textId="77777777" w:rsidR="00F71B63" w:rsidRDefault="00F71B63" w:rsidP="001E3547">
      <w:pPr>
        <w:spacing w:before="240"/>
        <w:jc w:val="both"/>
      </w:pPr>
      <w:r w:rsidRPr="00F71B63">
        <w:t xml:space="preserve">Zmiany zawarte w projekcie ustawy powinny wejść w życie w dniu 1 stycznia 2026 r. </w:t>
      </w:r>
    </w:p>
    <w:p w14:paraId="70454405" w14:textId="5C88437C" w:rsidR="00360BB1" w:rsidRDefault="001E3547" w:rsidP="001E3547">
      <w:pPr>
        <w:spacing w:before="240"/>
        <w:jc w:val="both"/>
      </w:pPr>
      <w:r w:rsidRPr="001E3547">
        <w:t>Projekt ustawy przewiduje skrócone vacatio legis z uwagi na konieczność niezwłocznego przeciwdziałania narastającym zjawiskom społecznym związanym z dynamicznym wzrostem otyłości wśród dzieci, młodzieży oraz dorosłych obywateli. Zjawisko to niesie za sobą poważne konsekwencje zdrowotne i społeczne, a także generuje rosnące obciążenia dla systemu ochrony zdrowia. Ponadto, w związku ze zwiększającymi się potrzebami w zakresie finansowania bezpieczeństwa i obronności państwa, konieczne jest zapewnienie stabilności finansów publicznych.</w:t>
      </w:r>
      <w:r w:rsidR="00360BB1">
        <w:t xml:space="preserve"> </w:t>
      </w:r>
    </w:p>
    <w:p w14:paraId="2C4F585F" w14:textId="77777777" w:rsidR="00360BB1" w:rsidRDefault="00360BB1" w:rsidP="00514482">
      <w:pPr>
        <w:jc w:val="both"/>
      </w:pPr>
    </w:p>
    <w:p w14:paraId="7E2073E2" w14:textId="2EC8BFF4" w:rsidR="00360BB1" w:rsidRDefault="00360BB1" w:rsidP="00514482">
      <w:pPr>
        <w:jc w:val="both"/>
        <w:rPr>
          <w:rStyle w:val="Ppogrubienie"/>
        </w:rPr>
      </w:pPr>
      <w:r>
        <w:rPr>
          <w:rStyle w:val="Ppogrubienie"/>
        </w:rPr>
        <w:t>Wpływ projektowanej regulacji na działalność mikroprzedsiębiorców, małych i średnich przedsiębiorstw</w:t>
      </w:r>
    </w:p>
    <w:p w14:paraId="3205299E" w14:textId="77777777" w:rsidR="00F83D9D" w:rsidRPr="00F83D9D" w:rsidRDefault="00F83D9D" w:rsidP="00514482">
      <w:pPr>
        <w:jc w:val="both"/>
        <w:rPr>
          <w:b/>
        </w:rPr>
      </w:pPr>
    </w:p>
    <w:p w14:paraId="3E0AA0CF" w14:textId="4AB31DEB" w:rsidR="00360BB1" w:rsidRDefault="00360BB1" w:rsidP="00514482">
      <w:pPr>
        <w:jc w:val="both"/>
      </w:pPr>
      <w:r>
        <w:t>Należy liczyć się ze zwiększeniem obciążeń, w tym dla mikro</w:t>
      </w:r>
      <w:r w:rsidR="0039120F">
        <w:t>-</w:t>
      </w:r>
      <w:r>
        <w:t xml:space="preserve">, małych i średnich przedsiębiorstw. </w:t>
      </w:r>
    </w:p>
    <w:p w14:paraId="53766D2D" w14:textId="5F22BDCC" w:rsidR="00D74706" w:rsidRDefault="00D74706" w:rsidP="00514482">
      <w:pPr>
        <w:jc w:val="both"/>
      </w:pPr>
      <w:r>
        <w:rPr>
          <w:color w:val="000000"/>
        </w:rPr>
        <w:t>Przewiduje się z</w:t>
      </w:r>
      <w:r w:rsidRPr="00011C27">
        <w:rPr>
          <w:color w:val="000000"/>
        </w:rPr>
        <w:t>większenie obciążeń</w:t>
      </w:r>
      <w:r>
        <w:rPr>
          <w:color w:val="000000"/>
        </w:rPr>
        <w:t xml:space="preserve"> </w:t>
      </w:r>
      <w:r w:rsidRPr="00011C27">
        <w:rPr>
          <w:color w:val="000000"/>
        </w:rPr>
        <w:t xml:space="preserve">w zakresie </w:t>
      </w:r>
      <w:r>
        <w:rPr>
          <w:color w:val="000000"/>
        </w:rPr>
        <w:t>opłaty od środków spożywczych</w:t>
      </w:r>
      <w:r w:rsidRPr="00011C27">
        <w:rPr>
          <w:color w:val="000000"/>
        </w:rPr>
        <w:t xml:space="preserve"> z uwagi na wzrost </w:t>
      </w:r>
      <w:r>
        <w:rPr>
          <w:color w:val="000000"/>
        </w:rPr>
        <w:t>wysokości opłaty od napojów słodzonych.</w:t>
      </w:r>
    </w:p>
    <w:p w14:paraId="4FF5F3B4" w14:textId="1BFE733B" w:rsidR="00D81D68" w:rsidRDefault="00D81D68" w:rsidP="00D81D68">
      <w:pPr>
        <w:jc w:val="both"/>
      </w:pPr>
      <w:r>
        <w:t>Projekt ustawy wpłynie na podmioty będące płatnikami zryczałtowanego podatku z tytułu wygranych w konkursach, grach i zakładach wzajemnych lub nagród związanych ze sprzedażą premiową, czyli</w:t>
      </w:r>
      <w:r w:rsidR="0039120F">
        <w:t xml:space="preserve"> takie</w:t>
      </w:r>
      <w:r>
        <w:t xml:space="preserve">, które obliczają, pobierają ten podatek od wygranych lub nagród oraz </w:t>
      </w:r>
      <w:r>
        <w:lastRenderedPageBreak/>
        <w:t>odprowadzają go do urzędu skarbowego, a także które są obowiązane składać deklaracje roczne o zryczałtowanym podatku dochodowym. Płatnicy ci będą musieli dostosować swoje systemy informatyczne do zmienionej stawki podatku, według której będą pobierać podatek od wygranych lub nagród.</w:t>
      </w:r>
    </w:p>
    <w:p w14:paraId="0BAF4043" w14:textId="77777777" w:rsidR="00F83D9D" w:rsidRDefault="00F83D9D" w:rsidP="00514482">
      <w:pPr>
        <w:jc w:val="both"/>
      </w:pPr>
    </w:p>
    <w:p w14:paraId="25E17B84" w14:textId="0B1A5157" w:rsidR="00360BB1" w:rsidRDefault="00360BB1" w:rsidP="00514482">
      <w:pPr>
        <w:jc w:val="both"/>
      </w:pPr>
      <w:r>
        <w:t>Projekt ustawy nie jest sprzeczny z prawem Unii Europejskiej.</w:t>
      </w:r>
    </w:p>
    <w:p w14:paraId="564C4F25" w14:textId="6678CB75" w:rsidR="00360BB1" w:rsidRDefault="00360BB1" w:rsidP="00514482">
      <w:pPr>
        <w:jc w:val="both"/>
      </w:pPr>
      <w:r>
        <w:t>Projekt ustawy nie zawiera przepisów technicznych w rozumieniu przepisów rozporządzenia Rady Ministrów z dnia 23 grudnia 2002 r. w sprawie sposobu funkcjonowania krajowego systemu notyfikacji norm i aktów prawnych (Dz. U. poz. 2039, z późn. zm.), w związku z czym nie będzie podlegał notyfikacji technicznej.</w:t>
      </w:r>
    </w:p>
    <w:p w14:paraId="48851043" w14:textId="77777777" w:rsidR="00360BB1" w:rsidRDefault="00360BB1" w:rsidP="00514482">
      <w:pPr>
        <w:jc w:val="both"/>
      </w:pPr>
      <w:r>
        <w:t xml:space="preserve">Projekt ustawy nie podlega przedstawieniu właściwym organom i instytucjom Unii Europejskiej, w tym Europejskiemu Bankowi Centralnemu. </w:t>
      </w:r>
    </w:p>
    <w:p w14:paraId="049B6330" w14:textId="122BFEB3" w:rsidR="00737A9C" w:rsidRDefault="00360BB1" w:rsidP="00514482">
      <w:pPr>
        <w:jc w:val="both"/>
      </w:pPr>
      <w:r>
        <w:t xml:space="preserve">Zgodnie z art. 5 ustawy z dnia 7 lipca 2005 r. o działalności lobbingowej w procesie stanowienia prawa (Dz. U. z 2025 r. poz. 677) w związku z § 52 ust. 1 uchwały nr 190 Rady Ministrów z dnia 29 października 2013 r. </w:t>
      </w:r>
      <w:r w:rsidR="0039120F">
        <w:t>–</w:t>
      </w:r>
      <w:r>
        <w:t xml:space="preserve"> Regulamin pracy Rady Ministrów (M.P. z 2024 r. poz. 806, z późn. zm.), projekt ustawy z chwilą przekazania go do uzgodnień z członkami Rady Ministrów oraz konsultacji publicznych i opiniowania zosta</w:t>
      </w:r>
      <w:r w:rsidR="009B1D13">
        <w:t>ł</w:t>
      </w:r>
      <w:r>
        <w:t xml:space="preserve"> udostępniony w Biuletynie Informacji Publicznej na stronie podmiotowej Rządowego Centrum Legislacji, w serwisie Rządowy Proces Legislacji.</w:t>
      </w:r>
    </w:p>
    <w:sectPr w:rsidR="00737A9C" w:rsidSect="0039120F">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2D860" w14:textId="77777777" w:rsidR="001372C3" w:rsidRDefault="001372C3" w:rsidP="00360BB1">
      <w:pPr>
        <w:spacing w:line="240" w:lineRule="auto"/>
      </w:pPr>
      <w:r>
        <w:separator/>
      </w:r>
    </w:p>
  </w:endnote>
  <w:endnote w:type="continuationSeparator" w:id="0">
    <w:p w14:paraId="32558B88" w14:textId="77777777" w:rsidR="001372C3" w:rsidRDefault="001372C3" w:rsidP="00360B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430508"/>
      <w:docPartObj>
        <w:docPartGallery w:val="Page Numbers (Bottom of Page)"/>
        <w:docPartUnique/>
      </w:docPartObj>
    </w:sdtPr>
    <w:sdtEndPr/>
    <w:sdtContent>
      <w:p w14:paraId="5949BC85" w14:textId="7DC08C5E" w:rsidR="0039120F" w:rsidRDefault="0039120F" w:rsidP="0039120F">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A12E" w14:textId="77777777" w:rsidR="001372C3" w:rsidRDefault="001372C3" w:rsidP="00360BB1">
      <w:pPr>
        <w:spacing w:line="240" w:lineRule="auto"/>
      </w:pPr>
      <w:r>
        <w:separator/>
      </w:r>
    </w:p>
  </w:footnote>
  <w:footnote w:type="continuationSeparator" w:id="0">
    <w:p w14:paraId="00D90386" w14:textId="77777777" w:rsidR="001372C3" w:rsidRDefault="001372C3" w:rsidP="00360B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F3E4E"/>
    <w:multiLevelType w:val="hybridMultilevel"/>
    <w:tmpl w:val="D668093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64BA782E"/>
    <w:multiLevelType w:val="hybridMultilevel"/>
    <w:tmpl w:val="BD5283B4"/>
    <w:lvl w:ilvl="0" w:tplc="3BE2CA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68177956">
    <w:abstractNumId w:val="0"/>
  </w:num>
  <w:num w:numId="2" w16cid:durableId="785124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B1"/>
    <w:rsid w:val="00031036"/>
    <w:rsid w:val="00031668"/>
    <w:rsid w:val="000A0437"/>
    <w:rsid w:val="00135E86"/>
    <w:rsid w:val="001372C3"/>
    <w:rsid w:val="001526DE"/>
    <w:rsid w:val="00164015"/>
    <w:rsid w:val="00193552"/>
    <w:rsid w:val="001B4AED"/>
    <w:rsid w:val="001D29A4"/>
    <w:rsid w:val="001E3547"/>
    <w:rsid w:val="001F5FA2"/>
    <w:rsid w:val="0020699D"/>
    <w:rsid w:val="00217EE9"/>
    <w:rsid w:val="00274228"/>
    <w:rsid w:val="00293A89"/>
    <w:rsid w:val="002A701A"/>
    <w:rsid w:val="002B2DC4"/>
    <w:rsid w:val="002C6104"/>
    <w:rsid w:val="00320B0B"/>
    <w:rsid w:val="00321D51"/>
    <w:rsid w:val="00340078"/>
    <w:rsid w:val="00350B74"/>
    <w:rsid w:val="00353898"/>
    <w:rsid w:val="00360BB1"/>
    <w:rsid w:val="00362EBD"/>
    <w:rsid w:val="0039120F"/>
    <w:rsid w:val="00395CEB"/>
    <w:rsid w:val="0043601A"/>
    <w:rsid w:val="00443D13"/>
    <w:rsid w:val="004506FD"/>
    <w:rsid w:val="00487C7F"/>
    <w:rsid w:val="004B5042"/>
    <w:rsid w:val="00514482"/>
    <w:rsid w:val="00526C13"/>
    <w:rsid w:val="00541B24"/>
    <w:rsid w:val="005F7D25"/>
    <w:rsid w:val="00611321"/>
    <w:rsid w:val="006F0B37"/>
    <w:rsid w:val="00737A9C"/>
    <w:rsid w:val="007815F5"/>
    <w:rsid w:val="007F3DB4"/>
    <w:rsid w:val="008606CA"/>
    <w:rsid w:val="00872B8B"/>
    <w:rsid w:val="008A6805"/>
    <w:rsid w:val="009256D2"/>
    <w:rsid w:val="00935F2A"/>
    <w:rsid w:val="0093705D"/>
    <w:rsid w:val="0094610A"/>
    <w:rsid w:val="009A7F8B"/>
    <w:rsid w:val="009B1D13"/>
    <w:rsid w:val="009B5905"/>
    <w:rsid w:val="00AE035A"/>
    <w:rsid w:val="00B4003A"/>
    <w:rsid w:val="00BB65B1"/>
    <w:rsid w:val="00BC002B"/>
    <w:rsid w:val="00C53051"/>
    <w:rsid w:val="00C757EE"/>
    <w:rsid w:val="00CC1808"/>
    <w:rsid w:val="00CD08A6"/>
    <w:rsid w:val="00D13534"/>
    <w:rsid w:val="00D1357E"/>
    <w:rsid w:val="00D31431"/>
    <w:rsid w:val="00D73F59"/>
    <w:rsid w:val="00D74706"/>
    <w:rsid w:val="00D81D68"/>
    <w:rsid w:val="00DA5E24"/>
    <w:rsid w:val="00E6606B"/>
    <w:rsid w:val="00E73D50"/>
    <w:rsid w:val="00ED5900"/>
    <w:rsid w:val="00ED7528"/>
    <w:rsid w:val="00EF38CF"/>
    <w:rsid w:val="00F71B63"/>
    <w:rsid w:val="00F83D9D"/>
    <w:rsid w:val="00F97233"/>
    <w:rsid w:val="00FE3E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283CDC"/>
  <w15:chartTrackingRefBased/>
  <w15:docId w15:val="{01078686-65A6-4977-91E2-25320614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0BB1"/>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60BB1"/>
    <w:rPr>
      <w:color w:val="0563C1" w:themeColor="hyperlink"/>
      <w:u w:val="single"/>
    </w:rPr>
  </w:style>
  <w:style w:type="paragraph" w:customStyle="1" w:styleId="LITlitera">
    <w:name w:val="LIT – litera"/>
    <w:basedOn w:val="Normalny"/>
    <w:uiPriority w:val="14"/>
    <w:qFormat/>
    <w:rsid w:val="00360BB1"/>
    <w:pPr>
      <w:widowControl/>
      <w:autoSpaceDE/>
      <w:autoSpaceDN/>
      <w:adjustRightInd/>
      <w:ind w:left="986" w:hanging="476"/>
      <w:jc w:val="both"/>
    </w:pPr>
    <w:rPr>
      <w:rFonts w:ascii="Times" w:hAnsi="Times"/>
      <w:bCs/>
    </w:rPr>
  </w:style>
  <w:style w:type="paragraph" w:customStyle="1" w:styleId="TIRtiret">
    <w:name w:val="TIR – tiret"/>
    <w:basedOn w:val="LITlitera"/>
    <w:uiPriority w:val="15"/>
    <w:qFormat/>
    <w:rsid w:val="00360BB1"/>
    <w:pPr>
      <w:ind w:left="1384" w:hanging="397"/>
    </w:pPr>
  </w:style>
  <w:style w:type="character" w:customStyle="1" w:styleId="Ppogrubienie">
    <w:name w:val="_P_ – pogrubienie"/>
    <w:basedOn w:val="Domylnaczcionkaakapitu"/>
    <w:uiPriority w:val="1"/>
    <w:qFormat/>
    <w:rsid w:val="00360BB1"/>
    <w:rPr>
      <w:b/>
      <w:bCs w:val="0"/>
    </w:rPr>
  </w:style>
  <w:style w:type="paragraph" w:styleId="Akapitzlist">
    <w:name w:val="List Paragraph"/>
    <w:basedOn w:val="Normalny"/>
    <w:uiPriority w:val="34"/>
    <w:qFormat/>
    <w:rsid w:val="00ED7528"/>
    <w:pPr>
      <w:ind w:left="720"/>
      <w:contextualSpacing/>
    </w:pPr>
  </w:style>
  <w:style w:type="paragraph" w:styleId="Poprawka">
    <w:name w:val="Revision"/>
    <w:hidden/>
    <w:uiPriority w:val="99"/>
    <w:semiHidden/>
    <w:rsid w:val="0039120F"/>
    <w:pPr>
      <w:spacing w:after="0" w:line="240" w:lineRule="auto"/>
    </w:pPr>
    <w:rPr>
      <w:rFonts w:ascii="Times New Roman" w:eastAsiaTheme="minorEastAsia" w:hAnsi="Times New Roman" w:cs="Arial"/>
      <w:sz w:val="24"/>
      <w:szCs w:val="20"/>
      <w:lang w:eastAsia="pl-PL"/>
    </w:rPr>
  </w:style>
  <w:style w:type="paragraph" w:styleId="Nagwek">
    <w:name w:val="header"/>
    <w:basedOn w:val="Normalny"/>
    <w:link w:val="NagwekZnak"/>
    <w:uiPriority w:val="99"/>
    <w:unhideWhenUsed/>
    <w:rsid w:val="0039120F"/>
    <w:pPr>
      <w:tabs>
        <w:tab w:val="center" w:pos="4536"/>
        <w:tab w:val="right" w:pos="9072"/>
      </w:tabs>
      <w:spacing w:line="240" w:lineRule="auto"/>
    </w:pPr>
  </w:style>
  <w:style w:type="character" w:customStyle="1" w:styleId="NagwekZnak">
    <w:name w:val="Nagłówek Znak"/>
    <w:basedOn w:val="Domylnaczcionkaakapitu"/>
    <w:link w:val="Nagwek"/>
    <w:uiPriority w:val="99"/>
    <w:rsid w:val="0039120F"/>
    <w:rPr>
      <w:rFonts w:ascii="Times New Roman" w:eastAsiaTheme="minorEastAsia" w:hAnsi="Times New Roman" w:cs="Arial"/>
      <w:sz w:val="24"/>
      <w:szCs w:val="20"/>
      <w:lang w:eastAsia="pl-PL"/>
    </w:rPr>
  </w:style>
  <w:style w:type="paragraph" w:styleId="Stopka">
    <w:name w:val="footer"/>
    <w:basedOn w:val="Normalny"/>
    <w:link w:val="StopkaZnak"/>
    <w:uiPriority w:val="99"/>
    <w:unhideWhenUsed/>
    <w:rsid w:val="0039120F"/>
    <w:pPr>
      <w:tabs>
        <w:tab w:val="center" w:pos="4536"/>
        <w:tab w:val="right" w:pos="9072"/>
      </w:tabs>
      <w:spacing w:line="240" w:lineRule="auto"/>
    </w:pPr>
  </w:style>
  <w:style w:type="character" w:customStyle="1" w:styleId="StopkaZnak">
    <w:name w:val="Stopka Znak"/>
    <w:basedOn w:val="Domylnaczcionkaakapitu"/>
    <w:link w:val="Stopka"/>
    <w:uiPriority w:val="99"/>
    <w:rsid w:val="0039120F"/>
    <w:rPr>
      <w:rFonts w:ascii="Times New Roman" w:eastAsiaTheme="minorEastAsia" w:hAnsi="Times New Roman" w:cs="Arial"/>
      <w:sz w:val="24"/>
      <w:szCs w:val="20"/>
      <w:lang w:eastAsia="pl-PL"/>
    </w:rPr>
  </w:style>
  <w:style w:type="paragraph" w:styleId="Tekstdymka">
    <w:name w:val="Balloon Text"/>
    <w:basedOn w:val="Normalny"/>
    <w:link w:val="TekstdymkaZnak"/>
    <w:uiPriority w:val="99"/>
    <w:semiHidden/>
    <w:unhideWhenUsed/>
    <w:rsid w:val="0034007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0078"/>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06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1557</Words>
  <Characters>9345</Characters>
  <Application>Microsoft Office Word</Application>
  <DocSecurity>4</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Gocel Norbert</dc:creator>
  <cp:keywords/>
  <dc:description/>
  <cp:lastModifiedBy>Binkowska Joanna</cp:lastModifiedBy>
  <cp:revision>2</cp:revision>
  <dcterms:created xsi:type="dcterms:W3CDTF">2025-10-14T15:41:00Z</dcterms:created>
  <dcterms:modified xsi:type="dcterms:W3CDTF">2025-10-14T15:41:00Z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UxC4dwLulzfINJ8nQH+xvX5LNGipWa4BRSZhPgxsCvniasJnyq6h2qVNgmjciQ67gpjAc1JPQZGyM9f6IMRzXQ==</vt:lpwstr>
  </property>
  <property fmtid="{D5CDD505-2E9C-101B-9397-08002B2CF9AE}" pid="4" name="MFClassificationDate">
    <vt:lpwstr>2025-08-26T13:08:41.6863478+02:00</vt:lpwstr>
  </property>
  <property fmtid="{D5CDD505-2E9C-101B-9397-08002B2CF9AE}" pid="5" name="MFClassifiedBySID">
    <vt:lpwstr>UxC4dwLulzfINJ8nQH+xvX5LNGipWa4BRSZhPgxsCvm42mrIC/DSDv0ggS+FjUN/2v1BBotkLlY5aAiEhoi6ufjJmLeUEhrPY/SXSP/m1zcHJmfsmSI/PfOpxri1bfqZ</vt:lpwstr>
  </property>
  <property fmtid="{D5CDD505-2E9C-101B-9397-08002B2CF9AE}" pid="6" name="MFGRNItemId">
    <vt:lpwstr>GRN-db67d5a6-eada-46d0-a323-aee021e3a41f</vt:lpwstr>
  </property>
  <property fmtid="{D5CDD505-2E9C-101B-9397-08002B2CF9AE}" pid="7" name="MFHash">
    <vt:lpwstr>13zJmVRIswavUYPuYYrMe3Nzh7eDaMHunSpxgB6ypZM=</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