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A10B" w14:textId="75D8CAB2" w:rsidR="008D4216" w:rsidRDefault="00F50E10" w:rsidP="00F50E10">
      <w:pPr>
        <w:keepNext/>
        <w:spacing w:before="120" w:after="120" w:line="360" w:lineRule="auto"/>
        <w:ind w:left="10080"/>
      </w:pPr>
      <w:r>
        <w:t>Załącznik Nr 8 do zarządzenia …….</w:t>
      </w:r>
      <w:r>
        <w:br/>
        <w:t>Prezesa Narodowego Funduszu Zdrowia</w:t>
      </w:r>
      <w:r>
        <w:br/>
        <w:t>z dnia ……. 2025 r.</w:t>
      </w:r>
    </w:p>
    <w:p w14:paraId="18FD2F0C" w14:textId="18E4F70B" w:rsidR="008D4216" w:rsidRDefault="00F50E10" w:rsidP="00F50E10">
      <w:pPr>
        <w:keepNext/>
        <w:spacing w:after="480"/>
        <w:jc w:val="center"/>
        <w:rPr>
          <w:color w:val="auto"/>
        </w:rPr>
      </w:pPr>
      <w:r>
        <w:rPr>
          <w:b/>
        </w:rPr>
        <w:t>SKALA CIĘŻKOŚCI ZATRUĆ (POISONING SEVERITY SCORE) – PSS</w:t>
      </w:r>
    </w:p>
    <w:p w14:paraId="30E1F7C3" w14:textId="77777777" w:rsidR="008D4216" w:rsidRDefault="00F50E10">
      <w:pPr>
        <w:pStyle w:val="Nagwek"/>
        <w:jc w:val="center"/>
        <w:rPr>
          <w:rFonts w:ascii="Arial Narrow" w:hAnsi="Arial Narrow"/>
          <w:sz w:val="28"/>
          <w:lang w:val="en-US" w:eastAsia="en-US" w:bidi="en-US"/>
        </w:rPr>
      </w:pPr>
      <w:r>
        <w:rPr>
          <w:rFonts w:ascii="Arial Narrow" w:hAnsi="Arial Narrow"/>
          <w:b/>
          <w:sz w:val="24"/>
          <w:lang w:val="en-US" w:eastAsia="en-US" w:bidi="en-US"/>
        </w:rPr>
        <w:t>SKALA CIĘŻKOŚCI ZATRUĆ (POISONING SEVERITY SCORE) – PSS</w:t>
      </w:r>
    </w:p>
    <w:tbl>
      <w:tblPr>
        <w:tblW w:w="15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418"/>
        <w:gridCol w:w="3682"/>
        <w:gridCol w:w="4395"/>
        <w:gridCol w:w="4395"/>
      </w:tblGrid>
      <w:tr w:rsidR="008D4216" w14:paraId="7595F8DA" w14:textId="77777777">
        <w:trPr>
          <w:jc w:val="center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ABDA4" w14:textId="77777777" w:rsidR="008D4216" w:rsidRDefault="00F50E10">
            <w:pPr>
              <w:pStyle w:val="Podtytu"/>
              <w:jc w:val="center"/>
              <w:rPr>
                <w:rFonts w:ascii="Arial Narrow" w:hAnsi="Arial Narrow"/>
                <w:sz w:val="18"/>
                <w:lang w:val="en-US" w:eastAsia="en-US" w:bidi="en-US"/>
              </w:rPr>
            </w:pPr>
            <w:r>
              <w:rPr>
                <w:rFonts w:ascii="Arial Narrow" w:hAnsi="Arial Narrow"/>
                <w:sz w:val="18"/>
                <w:lang w:val="en-US" w:eastAsia="en-US" w:bidi="en-US"/>
              </w:rPr>
              <w:t>Układ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A398F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BEZ OBJAWÓW</w:t>
            </w:r>
          </w:p>
        </w:tc>
        <w:tc>
          <w:tcPr>
            <w:tcW w:w="3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EFBE3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LEKKIE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2249B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ŚREDNIE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1332F0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CIĘŻKIE</w:t>
            </w:r>
          </w:p>
        </w:tc>
      </w:tr>
      <w:tr w:rsidR="008D4216" w14:paraId="17584ED2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8B0F8" w14:textId="77777777" w:rsidR="008D4216" w:rsidRDefault="008D42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9D19D" w14:textId="77777777" w:rsidR="008D4216" w:rsidRDefault="00F50E1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64BB" w14:textId="77777777" w:rsidR="008D4216" w:rsidRDefault="00F50E1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149B" w14:textId="77777777" w:rsidR="008D4216" w:rsidRDefault="00F50E1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073A67" w14:textId="77777777" w:rsidR="008D4216" w:rsidRDefault="00F50E1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D4216" w14:paraId="6F71D7EB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49A1E" w14:textId="77777777" w:rsidR="008D4216" w:rsidRDefault="008D4216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943D8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Brak objawów przedmiotowych i podmiotowych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C923A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Objawy nieznaczne, przemijające i spontanicznie ustępujące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B654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Objawy nasilone i przedłużające się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B986B7" w14:textId="77777777" w:rsidR="008D4216" w:rsidRDefault="00F50E10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Objawy ciężkie i zagrażające życiu</w:t>
            </w:r>
          </w:p>
        </w:tc>
      </w:tr>
      <w:tr w:rsidR="008D4216" w14:paraId="30EE65B9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755079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Przewód pokarmowy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26C6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344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Nudności, wymioty, biegunka, ból</w:t>
            </w:r>
          </w:p>
          <w:p w14:paraId="7714348D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Podrażnienie, 1 stopień oparzenia, minimalne owrzodzenia w jamie ustnej</w:t>
            </w:r>
          </w:p>
          <w:p w14:paraId="5D31097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Endoskopia: rumień, obrzęk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315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Nasilone lub przedłużające się wymioty, biegunka, ból; niedrożność</w:t>
            </w:r>
          </w:p>
          <w:p w14:paraId="22837E6D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 stopień oparzenia o krytycznej lokalizacji albo 2 i 3 stopień oparzenia o ograniczonej lokalizacji</w:t>
            </w:r>
          </w:p>
          <w:p w14:paraId="2995D392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Dysfagia</w:t>
            </w:r>
          </w:p>
          <w:p w14:paraId="73E255D0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Endoskopia: owrzodzenia obejmujące cały przekrój śluzówki</w:t>
            </w:r>
          </w:p>
          <w:p w14:paraId="4D02FB3B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6CEB3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Masywne krwawienie, perforacja</w:t>
            </w:r>
          </w:p>
          <w:p w14:paraId="1B885C3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Znacznie rozprzestrzenione oparzenia 2 i 3 stopnia </w:t>
            </w:r>
          </w:p>
          <w:p w14:paraId="5946B5D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Ciężka dysfagia</w:t>
            </w:r>
          </w:p>
          <w:p w14:paraId="08BC0A9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Endoskopia: owrzodzenia obejmujące całą grubość ściany, tkanki otaczające, perforacja</w:t>
            </w:r>
          </w:p>
        </w:tc>
      </w:tr>
      <w:tr w:rsidR="008D4216" w14:paraId="606286B6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C12626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Układ oddechowy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65A2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CBE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Podrażnienie, kaszel, „krótki oddech”, niewielka duszność, niewielki skurcz oskrzeli</w:t>
            </w:r>
          </w:p>
          <w:p w14:paraId="2D0FEEE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Rtg klatki piersiowej: nieprawidłowy z niewielkimi lub brakiem objawów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044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Przedłużający się kaszel, skurcz oskrzeli, duszność, stridor, hipoksemia - wymagająca tlenoterapii</w:t>
            </w:r>
          </w:p>
          <w:p w14:paraId="67067C7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Rtg klatki piersiowej: nieprawidłowy z umiarkowanymi objawami klinicznymi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E0EFC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Jawna niewydolność oddechowa (ciężki stan spastyczny oskrzeli, zwężenie dróg oddechowych, obrzęk głośni, obrzęk płuc, ARDS, „pneumonitis”, zapalenie płuc, odma opłucnowa)</w:t>
            </w:r>
          </w:p>
          <w:p w14:paraId="165BF21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Rtg klatki piersiowej: nieprawidłowy z ciężkimi objawami klinicznymi</w:t>
            </w:r>
          </w:p>
        </w:tc>
      </w:tr>
      <w:tr w:rsidR="008D4216" w14:paraId="3411E4E7" w14:textId="77777777">
        <w:trPr>
          <w:trHeight w:val="2208"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ED6DCB8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Układ nerwowy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DE4833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849FB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Senność, zawroty głowy, szum w uszach, zaburzenia równowagi</w:t>
            </w:r>
          </w:p>
          <w:p w14:paraId="27EF615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Niepokój</w:t>
            </w:r>
          </w:p>
          <w:p w14:paraId="2575C26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Nieznaczne objawy pozapiramidowe</w:t>
            </w:r>
          </w:p>
          <w:p w14:paraId="31B0096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Nieznaczne objawy cholinergiczne lub antycholinergiczne</w:t>
            </w:r>
          </w:p>
          <w:p w14:paraId="4965139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Parestezje</w:t>
            </w:r>
          </w:p>
          <w:p w14:paraId="45ADBF5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Nieznaczne zaburzenia widzenia lub słuchu</w:t>
            </w:r>
          </w:p>
          <w:p w14:paraId="3592D9AE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Oczopląs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B5B6F6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Nieprzytomny, z prawidłową reakcją na ból</w:t>
            </w:r>
          </w:p>
          <w:p w14:paraId="1F38D18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Krótkotrwały bezdech, bradypnoe</w:t>
            </w:r>
          </w:p>
          <w:p w14:paraId="61CB4A4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Splątanie, podniecenie, halucynacje, delirium</w:t>
            </w:r>
          </w:p>
          <w:p w14:paraId="4EECCFD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Rzadkie, uogólnione lub częściowe drgawki</w:t>
            </w:r>
          </w:p>
          <w:p w14:paraId="6DEE73B2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Nasilone objawy pozapiramidowe</w:t>
            </w:r>
          </w:p>
          <w:p w14:paraId="6FD978E2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Nasilone objawy cholinergiczne lub antycholinergiczne</w:t>
            </w:r>
          </w:p>
          <w:p w14:paraId="04FF74C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Ograniczone niedowłady nie zaburzające funkcji życiowych</w:t>
            </w:r>
          </w:p>
          <w:p w14:paraId="5730E2A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Zaburzenia widzenia i słuchu</w:t>
            </w:r>
          </w:p>
          <w:p w14:paraId="0974A02D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Mioklonie</w:t>
            </w:r>
          </w:p>
          <w:p w14:paraId="5A31A0F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Przedłużający się oczopląs</w:t>
            </w:r>
          </w:p>
          <w:p w14:paraId="3CF8C333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E65607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Głęboka śpiączka z nieprawidłową odpowiedzią na bodźce bólowe lub brakiem odpowiedzi na ból</w:t>
            </w:r>
          </w:p>
          <w:p w14:paraId="023235A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Depresja oddechowa z niewydolnością</w:t>
            </w:r>
          </w:p>
          <w:p w14:paraId="5B42317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Skrajne pobudzenie</w:t>
            </w:r>
          </w:p>
          <w:p w14:paraId="1571B47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Częste, uogólnione drgawki, stan padaczkowy, opistotonus</w:t>
            </w:r>
          </w:p>
          <w:p w14:paraId="46246C0E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Uogólniony niedowład lub niedowład zaburzający funkcje życiowe</w:t>
            </w:r>
          </w:p>
          <w:p w14:paraId="7E522B7A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 widzi, nie słyszy</w:t>
            </w:r>
          </w:p>
          <w:p w14:paraId="315AD1B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Odruchy i objawy patologiczne</w:t>
            </w:r>
          </w:p>
          <w:p w14:paraId="042C56FD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Anizokoria</w:t>
            </w:r>
          </w:p>
        </w:tc>
      </w:tr>
    </w:tbl>
    <w:p w14:paraId="2D874637" w14:textId="77777777" w:rsidR="008D4216" w:rsidRDefault="00F50E10">
      <w:r>
        <w:br w:type="page"/>
      </w:r>
    </w:p>
    <w:tbl>
      <w:tblPr>
        <w:tblW w:w="15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418"/>
        <w:gridCol w:w="3682"/>
        <w:gridCol w:w="4395"/>
        <w:gridCol w:w="4395"/>
      </w:tblGrid>
      <w:tr w:rsidR="008D4216" w14:paraId="58450788" w14:textId="77777777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9D6CB8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lastRenderedPageBreak/>
              <w:t>Układ sercowo-naczyniowy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A648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176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Pojedyncze skurcze dodatkowe</w:t>
            </w:r>
          </w:p>
          <w:p w14:paraId="5A05F4C6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Nieznaczna i przemijająca hipo/ hipertensja</w:t>
            </w:r>
          </w:p>
          <w:p w14:paraId="318C388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Bradykardia zatokowa (HR 50-60 u dorosłych , 80-90 u niemowląt i dzieci, 90-100 u noworodków)</w:t>
            </w:r>
          </w:p>
          <w:p w14:paraId="6B6199C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Tachykardia zatokowa (HR 120-140 u dorosłych, 130-160 u niemowląt i dzieci, 140-160 u noworodków)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BE4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Bradykardia zatokowa (HR 40-50 u dorosłych, 60-80 u niemowląt i dzieci, 80-90 u noworodków)</w:t>
            </w:r>
          </w:p>
          <w:p w14:paraId="4015A8E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Tachykardia zatokowa (HR 140-160 u dorosłych, 160-190 u niemowląt i dzieci, 160-200 u noworodków)</w:t>
            </w:r>
          </w:p>
          <w:p w14:paraId="19FD755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Powtarzające się skurcze dodatkowe, migotanie/ trzepotanie przedsionków, blok AV I-II stopnia, przedłużenie czasu QRS i QT, zaburzenia repolaryzacji</w:t>
            </w:r>
          </w:p>
          <w:p w14:paraId="2B8B7920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Niedokrwienie mięśnia sercowego</w:t>
            </w:r>
          </w:p>
          <w:p w14:paraId="20B2976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Bardziej nasilona hipo/ hipertensja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66BE3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Znaczna bradykardia zatokowa (HR&lt;40 u dorosłych, &lt;60 u niemowląt, &lt; 80 u noworodków)</w:t>
            </w:r>
          </w:p>
          <w:p w14:paraId="469BB9CA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Znaczna tachykardia zatokowa (HR &gt;160 u dorosłych, &gt;190 u niemowląt i dzieci, &gt;200 u noworodków)</w:t>
            </w:r>
          </w:p>
          <w:p w14:paraId="5F335F9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Zagrażające życiu komorowe zaburzenia rytmu, blok AV III stopnia, asystolia</w:t>
            </w:r>
          </w:p>
          <w:p w14:paraId="50E7CCB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Zawał mięśnia sercowego</w:t>
            </w:r>
          </w:p>
          <w:p w14:paraId="67A5A202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Wstrząs, przełom nadciśnieniowy</w:t>
            </w:r>
          </w:p>
        </w:tc>
      </w:tr>
      <w:tr w:rsidR="008D4216" w14:paraId="1C9E2AD4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3EE051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Równowaga metaboliczna</w:t>
            </w:r>
          </w:p>
          <w:p w14:paraId="6630838D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  <w:p w14:paraId="6E33A970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  <w:p w14:paraId="4EF81922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  <w:p w14:paraId="1EE9197A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  <w:p w14:paraId="6F8314EA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4CAC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191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Niewielkie zaburzenia równowagi kwasowo-zasadowej (HCO</w:t>
            </w:r>
            <w:r>
              <w:rPr>
                <w:rFonts w:ascii="Arial Narrow" w:hAnsi="Arial Narrow"/>
                <w:sz w:val="16"/>
                <w:vertAlign w:val="subscript"/>
              </w:rPr>
              <w:t>3</w:t>
            </w:r>
            <w:r>
              <w:rPr>
                <w:rFonts w:ascii="Arial Narrow" w:hAnsi="Arial Narrow"/>
                <w:b/>
                <w:sz w:val="16"/>
                <w:vertAlign w:val="superscript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15-20 lub 30-40 mmol/l, pH 7.25-7.32 lub 7.50-7.59)</w:t>
            </w:r>
          </w:p>
          <w:p w14:paraId="06680A9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Niewielkie zaburzenia równowagi wodno-elektrolitowej (K</w:t>
            </w:r>
            <w:r>
              <w:rPr>
                <w:rFonts w:ascii="Arial Narrow" w:hAnsi="Arial Narrow"/>
                <w:sz w:val="16"/>
                <w:vertAlign w:val="superscript"/>
              </w:rPr>
              <w:t>+</w:t>
            </w:r>
            <w:r>
              <w:rPr>
                <w:rFonts w:ascii="Arial Narrow" w:hAnsi="Arial Narrow"/>
                <w:sz w:val="16"/>
              </w:rPr>
              <w:t xml:space="preserve"> 3.0-3.4 lub 5.2-5.9 mmol/l)</w:t>
            </w:r>
          </w:p>
          <w:p w14:paraId="606BC86E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Niewielka hipoglikemia ( 50-70 mg/dl lub 2.8-3.9 mmol/l u dorosłych)</w:t>
            </w:r>
          </w:p>
          <w:p w14:paraId="21F501E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Krótkotrwała hipertermia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8C0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Bardziej nasilone zaburzenia równowagi kwasowo-zasadowej (HCO</w:t>
            </w:r>
            <w:r>
              <w:rPr>
                <w:rFonts w:ascii="Arial Narrow" w:hAnsi="Arial Narrow"/>
                <w:sz w:val="16"/>
                <w:vertAlign w:val="subscript"/>
              </w:rPr>
              <w:t>3</w:t>
            </w:r>
            <w:r>
              <w:rPr>
                <w:rFonts w:ascii="Arial Narrow" w:hAnsi="Arial Narrow"/>
                <w:b/>
                <w:sz w:val="16"/>
                <w:vertAlign w:val="superscript"/>
              </w:rPr>
              <w:t xml:space="preserve">- </w:t>
            </w:r>
            <w:r>
              <w:rPr>
                <w:rFonts w:ascii="Arial Narrow" w:hAnsi="Arial Narrow"/>
                <w:sz w:val="16"/>
              </w:rPr>
              <w:t>10-14 lub &gt;40 mmol/l, pH 7.15-7.24 lub 7.60-7.69)</w:t>
            </w:r>
          </w:p>
          <w:p w14:paraId="6CA3EBD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Bardziej nasilone zaburzenia równowagi wodno-elektrolitowej (K</w:t>
            </w:r>
            <w:r>
              <w:rPr>
                <w:rFonts w:ascii="Arial Narrow" w:hAnsi="Arial Narrow"/>
                <w:sz w:val="16"/>
                <w:vertAlign w:val="superscript"/>
              </w:rPr>
              <w:t>+</w:t>
            </w:r>
            <w:r>
              <w:rPr>
                <w:rFonts w:ascii="Arial Narrow" w:hAnsi="Arial Narrow"/>
                <w:sz w:val="16"/>
              </w:rPr>
              <w:t xml:space="preserve"> 2.5-2.9 lub 6.0-6.9 mmol/l)</w:t>
            </w:r>
          </w:p>
          <w:p w14:paraId="679A93C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Bardziej nasilona hipoglikemia (30-50 mg/dl lub 1.7-2.8 mmol/l u dorosłych)</w:t>
            </w:r>
          </w:p>
          <w:p w14:paraId="3023436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Hipertermia dłużej trwająca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DEB78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Ciężkie zaburzenia równowagi kwasowo-zasadowej (HCO</w:t>
            </w:r>
            <w:r>
              <w:rPr>
                <w:rFonts w:ascii="Arial Narrow" w:hAnsi="Arial Narrow"/>
                <w:sz w:val="16"/>
                <w:vertAlign w:val="subscript"/>
              </w:rPr>
              <w:t>3</w:t>
            </w:r>
            <w:r>
              <w:rPr>
                <w:rFonts w:ascii="Arial Narrow" w:hAnsi="Arial Narrow"/>
                <w:b/>
                <w:sz w:val="16"/>
                <w:vertAlign w:val="superscript"/>
              </w:rPr>
              <w:t>-</w:t>
            </w:r>
            <w:r>
              <w:rPr>
                <w:rFonts w:ascii="Arial Narrow" w:hAnsi="Arial Narrow"/>
                <w:sz w:val="16"/>
              </w:rPr>
              <w:t xml:space="preserve"> &lt;10 mmol/l, pH 7.15 lub &gt; 7.7)</w:t>
            </w:r>
          </w:p>
          <w:p w14:paraId="223313A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Ciężkie zaburzenia równowagi wodno-elektrolitowej (K</w:t>
            </w:r>
            <w:r>
              <w:rPr>
                <w:rFonts w:ascii="Arial Narrow" w:hAnsi="Arial Narrow"/>
                <w:sz w:val="16"/>
                <w:vertAlign w:val="superscript"/>
              </w:rPr>
              <w:t>+</w:t>
            </w:r>
            <w:r>
              <w:rPr>
                <w:rFonts w:ascii="Arial Narrow" w:hAnsi="Arial Narrow"/>
                <w:sz w:val="16"/>
              </w:rPr>
              <w:t xml:space="preserve"> &lt;2.5 lub &gt;7.0 mmol/l)</w:t>
            </w:r>
          </w:p>
          <w:p w14:paraId="1C85B93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Ciężka hipoglikemia(&lt;30 mg/dl lub 1.7 mmol/l u dorosłych)</w:t>
            </w:r>
          </w:p>
          <w:p w14:paraId="511E909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Niebezpieczna hipo lub hipertermia</w:t>
            </w:r>
          </w:p>
        </w:tc>
      </w:tr>
      <w:tr w:rsidR="008D4216" w14:paraId="2B6579CC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DDDA68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Wątroba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CE5B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353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Niewielki wzrost aktywności enzymów (AspAT, AlAT 2-5 x norma)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C67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Wzrost aktywności enzymów (AspAT, AlAT 5-50 x norma), ale bez biochemicznych (amoniak, czynniki krzepnięcia) i klinicznych objawów dysfunkcji wątroby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C8A4C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Wzrost aktywności enzymów (AspAT, AlAT &gt; 50 x norma) lub biochemiczne (amoniak, czynniki krzepnięcia) i kliniczne objawy niewydolności wątroby</w:t>
            </w:r>
          </w:p>
        </w:tc>
      </w:tr>
      <w:tr w:rsidR="008D4216" w14:paraId="44DA5121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FE6059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Nerki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1CFC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C3B0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Nieznaczny białkomocz/ krwiomocz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367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Masywny białkomocz/ krwiomocz</w:t>
            </w:r>
          </w:p>
          <w:p w14:paraId="1E69531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Dysfunkcja nerek (oliguria, poliuria, stężenie kreatyniny w surowicy 200-500 </w: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>SYMBOL 109 \f "Symbol" \s 8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Symbol" w:hAnsi="Symbol"/>
                <w:sz w:val="16"/>
              </w:rPr>
              <w:t>m</w: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  <w:t>mol/l))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A472F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Niewydolność nerek (anuria, stężenie kreatyniny w surowicy &gt;500 </w:t>
            </w:r>
            <w:r>
              <w:rPr>
                <w:rFonts w:ascii="Arial Narrow" w:hAnsi="Arial Narrow"/>
                <w:sz w:val="16"/>
              </w:rPr>
              <w:fldChar w:fldCharType="begin"/>
            </w:r>
            <w:r>
              <w:rPr>
                <w:rFonts w:ascii="Arial Narrow" w:hAnsi="Arial Narrow"/>
                <w:sz w:val="16"/>
              </w:rPr>
              <w:instrText>SYMBOL 109 \f "Symbol" \s 8</w:instrText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Symbol" w:hAnsi="Symbol"/>
                <w:sz w:val="16"/>
              </w:rPr>
              <w:t>m</w:t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  <w:t>mol/L))</w:t>
            </w:r>
          </w:p>
        </w:tc>
      </w:tr>
      <w:tr w:rsidR="008D4216" w14:paraId="3035F7A0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674711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Krew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1E161E" w14:textId="77777777" w:rsidR="008D4216" w:rsidRDefault="008D421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43468D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Niewielka hemoliza</w:t>
            </w:r>
          </w:p>
          <w:p w14:paraId="53F67E4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Niewielka methemoglobinemia (MetHb 10-30%)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56D80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Hemoliza</w:t>
            </w:r>
          </w:p>
          <w:p w14:paraId="48AAA93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Bardziej nasilona methemoglobinemia (MetHb 30-50 %)</w:t>
            </w:r>
          </w:p>
          <w:p w14:paraId="562B461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Nieprawidłowe parametry krzepnięcia bez cech krwawienia</w:t>
            </w:r>
          </w:p>
          <w:p w14:paraId="552C3A9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Anemia, leukopenia, trombocytopenia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D09E1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Masywna hemoliza</w:t>
            </w:r>
          </w:p>
          <w:p w14:paraId="0A4D3C56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Ciężka methemoglobinemia (MetHb &gt;50%)</w:t>
            </w:r>
          </w:p>
          <w:p w14:paraId="5010654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Nieprawidłowe parametry krzepnięcia z jawną skazą krwotoczną</w:t>
            </w:r>
          </w:p>
          <w:p w14:paraId="2009BA1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Ciężka anemia, leukopenia, trombocytopenia</w:t>
            </w:r>
          </w:p>
        </w:tc>
      </w:tr>
      <w:tr w:rsidR="008D4216" w14:paraId="6FF5147C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699017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Układ mięśniowy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8976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5C2A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Nieznaczny ból, nadwrażliwość</w:t>
            </w:r>
          </w:p>
          <w:p w14:paraId="0FFBB178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CPK 250-1500 IU/l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05F6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Ból, sztywność, kurcze i drżenia pęczkowe</w:t>
            </w:r>
          </w:p>
          <w:p w14:paraId="71F57F2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Rabdomioliza, CPK 1500-10 000 IU/l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1B5A92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Intensywny ból, znaczna sztywność, nasilone kurcze i drżenia pęczkowe</w:t>
            </w:r>
          </w:p>
          <w:p w14:paraId="1E6E92C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Rabdomioliza z powikłaniami, </w:t>
            </w:r>
          </w:p>
          <w:p w14:paraId="1302440D" w14:textId="77777777" w:rsidR="008D4216" w:rsidRDefault="00F50E10">
            <w:pPr>
              <w:ind w:left="17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CPK &gt;10 000 IU/l</w:t>
            </w:r>
          </w:p>
          <w:p w14:paraId="58F9531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Zespół kompartmentowy</w:t>
            </w:r>
          </w:p>
        </w:tc>
      </w:tr>
      <w:tr w:rsidR="008D4216" w14:paraId="367746B9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1FBA4E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Skóra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137B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4B0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Podrażnienie, 1 stopień oparzenia (zaczerwienienie) lub 2 stopień oparzenia na powierzchni &lt;10% powierzchni ciała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E9E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 stopień oparzenia w 10-50% powierzchni ciała (dzieci: 10-30%) lub 3 stopień oparzenia na powierzchni &lt;2%</w:t>
            </w:r>
          </w:p>
          <w:p w14:paraId="4FDA98F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Odleżyny pojedyncze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2AD3A3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 stopień oparzenia &gt;50% powierzchni ciała (dzieci: &gt;30%) lub 3 stopień oparzenia na powierzchni &gt;2%</w:t>
            </w:r>
          </w:p>
          <w:p w14:paraId="5605C584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Odleżyny mnogie &gt;2%</w:t>
            </w:r>
          </w:p>
        </w:tc>
      </w:tr>
    </w:tbl>
    <w:p w14:paraId="18E10505" w14:textId="77777777" w:rsidR="008D4216" w:rsidRDefault="008D4216"/>
    <w:tbl>
      <w:tblPr>
        <w:tblW w:w="15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418"/>
        <w:gridCol w:w="3682"/>
        <w:gridCol w:w="4395"/>
        <w:gridCol w:w="4395"/>
      </w:tblGrid>
      <w:tr w:rsidR="008D4216" w14:paraId="48D62042" w14:textId="77777777">
        <w:trPr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8A542E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Oczy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2780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3B9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Podrażnienie, zaczerwienienie, łzawienie, nieznaczny obrzęk powiek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940E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Znaczne podrażnienie, ubytki rogówki</w:t>
            </w:r>
          </w:p>
          <w:p w14:paraId="61C29727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Niewielkie (punktowe) owrzodzenie rogówki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2DAA9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Owrzodzenia rogówki (nie punktowe), perforacja</w:t>
            </w:r>
          </w:p>
          <w:p w14:paraId="4FF6C450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Trwałe uszkodzenie</w:t>
            </w:r>
          </w:p>
        </w:tc>
      </w:tr>
      <w:tr w:rsidR="008D4216" w14:paraId="0BA2B441" w14:textId="77777777">
        <w:trPr>
          <w:trHeight w:val="1077"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9A05832" w14:textId="77777777" w:rsidR="008D4216" w:rsidRDefault="00F50E1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lastRenderedPageBreak/>
              <w:t>Zmiany miejscowe po ukąszeniach i użądleniach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64564B" w14:textId="77777777" w:rsidR="008D4216" w:rsidRDefault="008D421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4F7D2C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Miejscowy obrzęk, swędzenie</w:t>
            </w:r>
          </w:p>
          <w:p w14:paraId="0781D9A1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Nieznaczny ból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86A465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Obrzęk obejmujący całą kończynę, miejscowa martwica</w:t>
            </w:r>
          </w:p>
          <w:p w14:paraId="175D854B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Umiarkowany ból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CF5679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Obrzęk obejmujący całą kończynę i znaczną część otaczającej powierzchni, bardziej rozległa martwica</w:t>
            </w:r>
          </w:p>
          <w:p w14:paraId="2235640F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Krytyczna lokalizacja obrzęku zagrażająca drożności dróg oddechowych</w:t>
            </w:r>
          </w:p>
          <w:p w14:paraId="754C4FEA" w14:textId="77777777" w:rsidR="008D4216" w:rsidRDefault="00F50E10">
            <w:pPr>
              <w:numPr>
                <w:ilvl w:val="0"/>
                <w:numId w:val="1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Znacznie nasilony ból</w:t>
            </w:r>
          </w:p>
        </w:tc>
      </w:tr>
    </w:tbl>
    <w:p w14:paraId="7BE9D8FB" w14:textId="77777777" w:rsidR="008D4216" w:rsidRDefault="008D4216">
      <w:pPr>
        <w:rPr>
          <w:rFonts w:ascii="Arial Narrow" w:hAnsi="Arial Narrow"/>
        </w:rPr>
      </w:pPr>
    </w:p>
    <w:p w14:paraId="55361E4D" w14:textId="77777777" w:rsidR="008D4216" w:rsidRDefault="00F50E10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Skala ta jest międzynarodową klasyfikacją ciężkości zatrucia w odniesieniu zarówno do osób dorosłych, jak i dzieci. Może być stosowana w przypadku każdego ostrego zatrucia niezależnie od ilości i typu czynników go wywołujących. Wypełnienie formularza PSS wymaga dokładnej analizy całości dokumentacji klinicznej. </w:t>
      </w:r>
    </w:p>
    <w:p w14:paraId="18355966" w14:textId="77777777" w:rsidR="008D4216" w:rsidRDefault="00F50E10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Stopień ciężkości zatrucia zostaje określony na podstawie rzetelnej obserwacji klinicznej. PSS zawsze powinna brać pod uwagę całokształt procesu obserwacji klinicznej i być wypełniana w oparciu o uwzględnienie najcięższej symptomatologii (wystąpienie choćby jednego objawu), w tym objawów subiektywnych i obiektywnych. Może on być wypełniany w każdej chwili hospitalizacji, pod warunkiem dokładnego określenia czasu zbierania danych. Skala ta nie określa ryzyka i zagrożeń w oparciu o dane takie jak, ilość spożytej substancji czy stężenie ksenobiotyku we krwi.</w:t>
      </w:r>
    </w:p>
    <w:p w14:paraId="51B36755" w14:textId="77777777" w:rsidR="008D4216" w:rsidRDefault="008D4216">
      <w:pPr>
        <w:rPr>
          <w:rFonts w:ascii="Arial Narrow" w:hAnsi="Arial Narrow"/>
        </w:rPr>
      </w:pPr>
    </w:p>
    <w:p w14:paraId="6A901A71" w14:textId="77777777" w:rsidR="008D4216" w:rsidRDefault="008D4216"/>
    <w:sectPr w:rsidR="008D4216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C6CAEA2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57" w:legacyIndent="170"/>
        <w:lvlJc w:val="left"/>
        <w:pPr>
          <w:shd w:val="clear" w:color="auto" w:fill="auto"/>
          <w:ind w:left="170" w:hanging="17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16"/>
    <w:rsid w:val="003B00D3"/>
    <w:rsid w:val="007776A1"/>
    <w:rsid w:val="008D4216"/>
    <w:rsid w:val="00F5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E43"/>
  <w15:docId w15:val="{12B198E5-2857-40BD-B59F-280E5810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153"/>
        <w:tab w:val="right" w:pos="8306"/>
      </w:tabs>
    </w:pPr>
    <w:rPr>
      <w:color w:val="auto"/>
      <w:sz w:val="20"/>
      <w:shd w:val="clear" w:color="auto" w:fill="auto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color w:val="auto"/>
      <w:sz w:val="20"/>
      <w:shd w:val="clear" w:color="auto" w:fill="auto"/>
    </w:rPr>
  </w:style>
  <w:style w:type="paragraph" w:styleId="Podtytu">
    <w:name w:val="Subtitle"/>
    <w:basedOn w:val="Normalny"/>
    <w:uiPriority w:val="11"/>
    <w:qFormat/>
    <w:rPr>
      <w:rFonts w:ascii="Arial" w:hAnsi="Arial"/>
      <w:b/>
      <w:color w:val="auto"/>
      <w:sz w:val="20"/>
      <w:shd w:val="clear" w:color="auto" w:fill="auto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6480</Characters>
  <Application>Microsoft Office Word</Application>
  <DocSecurity>4</DocSecurity>
  <Lines>54</Lines>
  <Paragraphs>15</Paragraphs>
  <ScaleCrop>false</ScaleCrop>
  <Company>00SVSCCM2016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2025-12-05T08:59:00Z</dcterms:created>
  <dcterms:modified xsi:type="dcterms:W3CDTF">2025-12-05T08:59:00Z</dcterms:modified>
</cp:coreProperties>
</file>