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3DDE04" w14:textId="77777777" w:rsidR="007F5A29" w:rsidRPr="00957D57" w:rsidRDefault="00957D57" w:rsidP="00957D57">
      <w:pPr>
        <w:jc w:val="center"/>
        <w:rPr>
          <w:b/>
          <w:bCs/>
        </w:rPr>
      </w:pPr>
      <w:r w:rsidRPr="00957D57">
        <w:rPr>
          <w:b/>
          <w:bCs/>
        </w:rPr>
        <w:t>Formularz zgłaszania uwag</w:t>
      </w:r>
    </w:p>
    <w:p w14:paraId="107B3338" w14:textId="77777777" w:rsidR="007F5A29" w:rsidRDefault="00957D57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F1F1F"/>
        </w:rPr>
      </w:pPr>
      <w:r>
        <w:rPr>
          <w:rFonts w:ascii="Google Sans Text" w:eastAsia="Google Sans Text" w:hAnsi="Google Sans Text" w:cs="Google Sans Text"/>
          <w:b/>
          <w:bCs/>
          <w:color w:val="1F1F1F"/>
        </w:rPr>
        <w:t>Projekt:</w:t>
      </w:r>
      <w:r>
        <w:rPr>
          <w:rFonts w:ascii="Google Sans Text" w:eastAsia="Google Sans Text" w:hAnsi="Google Sans Text" w:cs="Google Sans Text"/>
          <w:color w:val="1F1F1F"/>
        </w:rPr>
        <w:t xml:space="preserve"> Zarządzenia Prezesa Narodowego Funduszu Zdrowia zmieniający zarządzenie w sprawie określenia warunków zawierania i realizacji umów o udzielanie świadczeń opieki zdrowotnej w rodzaju ambulatoryjna opieka specjalistyczna</w:t>
      </w:r>
    </w:p>
    <w:tbl>
      <w:tblPr>
        <w:tblStyle w:val="a"/>
        <w:tblW w:w="1296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50"/>
        <w:gridCol w:w="1710"/>
        <w:gridCol w:w="2820"/>
        <w:gridCol w:w="2385"/>
        <w:gridCol w:w="3135"/>
        <w:gridCol w:w="2160"/>
      </w:tblGrid>
      <w:tr w:rsidR="007F5A29" w14:paraId="479EBCFA" w14:textId="77777777" w:rsidTr="00957D57">
        <w:trPr>
          <w:trHeight w:val="590"/>
        </w:trPr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168B73F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Lp.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094AC5CE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Podmiot zgłaszający uwagę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1493221E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Przepis, którego uwaga dotyczy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6B9087CD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Uwaga/opinia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22B6B870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Uzasadnienie uwagi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  <w:vAlign w:val="center"/>
          </w:tcPr>
          <w:p w14:paraId="56CE68FE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75" w:lineRule="auto"/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b/>
                <w:bCs/>
                <w:color w:val="1F1F1F"/>
              </w:rPr>
              <w:t>Propozycje rozwiązań</w:t>
            </w:r>
          </w:p>
        </w:tc>
      </w:tr>
      <w:tr w:rsidR="007F5A29" w14:paraId="6A4CAEA2" w14:textId="77777777"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FC4A175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1.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572C8CB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OIPiP w Słupsku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F8DCB91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Uzasadnienie projektu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DC75FE1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Negatywna opinia dotycząca skutków finansowych regulacji.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4B60B4A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W uzasadnieniu wskazano, że aktualizacja taryfy spowoduje obniżenie wydatków płatnika o ok. 142,7 mln zł. W dobie rosnących kosztów funkcjonowania podmiotów (energia, usługi obce, wynagrodzenia) obniżanie finansowania doprowadzi do zapaści finansowej wielu placówek i ograniczenia dostępności do diagnostyki.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6DBD379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Odstąpienie od wprowadzenia taryf obniżających finansowanie świadczeń. Utrzymanie nakładów na AOS co najmniej na obecnym poziomie.</w:t>
            </w:r>
          </w:p>
        </w:tc>
      </w:tr>
      <w:tr w:rsidR="007F5A29" w14:paraId="75C4C9EC" w14:textId="77777777"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AD4696D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2.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DD35A4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OIPiP w Słupsku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E5FB382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Załącznik nr 1b do zarządzenia (Katalog ASDK)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87687C0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Sprzeciw wobec obniżenia wycen punktowych dla badań Tomografii Komputerowej (TK)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i Rezonansu Magnetycznego (RM).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6429E9A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 xml:space="preserve">Projekt zakłada drastyczne obniżenie wycen kluczowych badań diagnostycznych. Grozi to ograniczeniem dostępności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do tych badań dla pacjentów (limitowanie wykonań przez świadczeniodawców w celu uniknięcia strat) oraz wydłużeniem czasu oczekiwania na diagnozę onkologiczną i specjalistyczną.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4CB4938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 xml:space="preserve">Przywrócenie wycen punktowych dla badań TK i RM do poziomu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obowiązującego w Zarządzeniu Nr 132/2024/DSOZ przed nowelizacją.</w:t>
            </w:r>
          </w:p>
        </w:tc>
      </w:tr>
      <w:tr w:rsidR="007F5A29" w14:paraId="3D527C6B" w14:textId="77777777"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983681C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3.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613DB9EF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OIPiP w Słupsku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1812F5C5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Załącznik nr 2 do zarządzenia (Załącznik nr 5a - Grupy W i PPW), lp. 32-34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A6B4848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Wniosek o podwyższenie wyceny dla grup: PPW1, PPW2, PPW3.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C0B118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Obecna wycena (PPW1 - 17 pkt, PPW2 - 30 pkt) jest rażąco niska i nieurealniona rynkowo. Nie pokrywa kosztów osobowych (czas pracy wykwalifikowanej pielęgniarki/położnej), kosztów gabinetu oraz zużytych materiałów. Niska wycena zniechęca podmioty do kontraktowania i wykazywania samodzielnych porad pielęgniarskich.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B56D5BD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Podwyższenie wyceny punktowej świadczeń: PPW1 do 25 pkt, PPW2 do 45 pkt, PPW3 do 60 pkt, w celu zapewnienia rentowności tych świadczeń.</w:t>
            </w:r>
          </w:p>
        </w:tc>
      </w:tr>
      <w:tr w:rsidR="007F5A29" w14:paraId="41700641" w14:textId="77777777">
        <w:tc>
          <w:tcPr>
            <w:tcW w:w="7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7BD6A9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4.</w:t>
            </w:r>
          </w:p>
        </w:tc>
        <w:tc>
          <w:tcPr>
            <w:tcW w:w="171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49E6D74D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OIPiP w Słupsku</w:t>
            </w:r>
          </w:p>
        </w:tc>
        <w:tc>
          <w:tcPr>
            <w:tcW w:w="282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37DE90DF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>Załącznik nr 2 do zarządzenia (Załącznik nr 5a - Grupy Z i PZ)</w:t>
            </w:r>
          </w:p>
        </w:tc>
        <w:tc>
          <w:tcPr>
            <w:tcW w:w="23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0688410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t xml:space="preserve">Uwaga dotycząca kompletności procedur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pielęgniarskich w nowych grupach zabiegowych.</w:t>
            </w:r>
          </w:p>
        </w:tc>
        <w:tc>
          <w:tcPr>
            <w:tcW w:w="31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749F5DD5" w14:textId="4B22504B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 xml:space="preserve">Wprowadzenie nowych grup zabiegowych (dot. kręgosłupa, reumatologii)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wymaga weryfikacji, czy uwzględniono w nich możliwość rozliczania i realizacji procedur wspomagających przez personel pielęgniarski w ramach kompetencji oraz czy wycena tych grup uwzględnia wzrost kosztów pracy tego personelu.</w:t>
            </w:r>
          </w:p>
        </w:tc>
        <w:tc>
          <w:tcPr>
            <w:tcW w:w="21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120" w:type="dxa"/>
              <w:left w:w="180" w:type="dxa"/>
              <w:bottom w:w="120" w:type="dxa"/>
              <w:right w:w="180" w:type="dxa"/>
            </w:tcMar>
          </w:tcPr>
          <w:p w14:paraId="20DFB6AE" w14:textId="77777777" w:rsidR="007F5A29" w:rsidRDefault="00957D5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rPr>
                <w:rFonts w:ascii="Google Sans Text" w:eastAsia="Google Sans Text" w:hAnsi="Google Sans Text" w:cs="Google Sans Text"/>
                <w:color w:val="1F1F1F"/>
              </w:rPr>
            </w:pP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 xml:space="preserve">Przegląd koszyka świadczeń w nowych grupach </w:t>
            </w:r>
            <w:r>
              <w:rPr>
                <w:rFonts w:ascii="Google Sans Text" w:eastAsia="Google Sans Text" w:hAnsi="Google Sans Text" w:cs="Google Sans Text"/>
                <w:color w:val="1F1F1F"/>
              </w:rPr>
              <w:lastRenderedPageBreak/>
              <w:t>pod kątem udziału pielęgniarek i zapewnienie finansowania pokrywającego pełne koszty zespołu terapeutycznego.</w:t>
            </w:r>
          </w:p>
        </w:tc>
      </w:tr>
    </w:tbl>
    <w:p w14:paraId="01ACCBAD" w14:textId="77777777" w:rsidR="007F5A29" w:rsidRDefault="007F5A29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Google Sans Text" w:eastAsia="Google Sans Text" w:hAnsi="Google Sans Text" w:cs="Google Sans Text"/>
          <w:color w:val="1F1F1F"/>
        </w:rPr>
      </w:pPr>
    </w:p>
    <w:sectPr w:rsidR="007F5A29">
      <w:pgSz w:w="15840" w:h="12240" w:orient="landscape"/>
      <w:pgMar w:top="1440" w:right="1440" w:bottom="1440" w:left="1440" w:header="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7F47C7F3-EF9A-4A55-A1AB-7DDFFA314730}"/>
  </w:font>
  <w:font w:name="Google Sans Text">
    <w:charset w:val="00"/>
    <w:family w:val="auto"/>
    <w:pitch w:val="default"/>
    <w:embedRegular r:id="rId2" w:fontKey="{EEC00F77-3888-4455-ACDF-D5BDFFB511E1}"/>
    <w:embedBold r:id="rId3" w:fontKey="{F08B7BBC-688F-4B62-87F9-86C00B7DF2C6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9AC5024-E5AC-4780-BF25-30E9DD2C92A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6B5DB9B2-3AF6-4C08-919D-2DC06F8C5AC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F5A29"/>
    <w:rsid w:val="001B7EC9"/>
    <w:rsid w:val="007F5A29"/>
    <w:rsid w:val="00957D57"/>
    <w:rsid w:val="00A92A4E"/>
    <w:rsid w:val="00C556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EB7A52"/>
  <w15:docId w15:val="{3C256A56-0F03-451D-BA1E-915DBE22F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pl-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389</Words>
  <Characters>2334</Characters>
  <Application>Microsoft Office Word</Application>
  <DocSecurity>0</DocSecurity>
  <Lines>19</Lines>
  <Paragraphs>5</Paragraphs>
  <ScaleCrop>false</ScaleCrop>
  <Company/>
  <LinksUpToDate>false</LinksUpToDate>
  <CharactersWithSpaces>2718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admin2</cp:lastModifiedBy>
  <cp:revision>3</cp:revision>
  <dcterms:created xsi:type="dcterms:W3CDTF">2025-12-09T07:19:00Z</dcterms:created>
  <dcterms:modified xsi:type="dcterms:W3CDTF">2025-12-09T09:08:00Z</dcterms:modified>
</cp:coreProperties>
</file>